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397F2" w14:textId="77777777" w:rsidR="0034171A" w:rsidRPr="0034171A" w:rsidRDefault="0034171A" w:rsidP="0034171A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s-CL"/>
        </w:rPr>
      </w:pPr>
      <w:bookmarkStart w:id="0" w:name="_GoBack"/>
      <w:bookmarkEnd w:id="0"/>
      <w:r w:rsidRPr="0034171A">
        <w:rPr>
          <w:rFonts w:eastAsia="Times New Roman" w:cs="Times New Roman"/>
          <w:b/>
          <w:sz w:val="24"/>
          <w:szCs w:val="24"/>
          <w:u w:val="single"/>
          <w:lang w:eastAsia="es-CL"/>
        </w:rPr>
        <w:t>Observaciones</w:t>
      </w:r>
    </w:p>
    <w:p w14:paraId="7CC9197F" w14:textId="77777777" w:rsidR="0034171A" w:rsidRPr="0034171A" w:rsidRDefault="0034171A" w:rsidP="0034171A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p w14:paraId="5023CB35" w14:textId="0D1DACA9" w:rsidR="00CC0055" w:rsidRDefault="0034171A" w:rsidP="0034171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CC0055">
        <w:rPr>
          <w:rFonts w:eastAsia="Times New Roman" w:cs="Times New Roman"/>
          <w:sz w:val="24"/>
          <w:szCs w:val="24"/>
          <w:lang w:eastAsia="es-CL"/>
        </w:rPr>
        <w:t>En materiales no se hace referencia explícita a la aprobación por comité de ética respectivo y donde se explicaron riesgos y/o beneficios potenciales del procedimiento adicional quirúrgico previo al trasplante.</w:t>
      </w:r>
      <w:r w:rsidR="00CC0055">
        <w:rPr>
          <w:rFonts w:eastAsia="Times New Roman" w:cs="Times New Roman"/>
          <w:sz w:val="24"/>
          <w:szCs w:val="24"/>
          <w:lang w:eastAsia="es-CL"/>
        </w:rPr>
        <w:t xml:space="preserve"> </w:t>
      </w:r>
    </w:p>
    <w:p w14:paraId="4675948E" w14:textId="77777777" w:rsidR="00CC0055" w:rsidRDefault="00CC0055" w:rsidP="00CC0055">
      <w:pPr>
        <w:pStyle w:val="Prrafodelista"/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1FC09741" w14:textId="27D0D82A" w:rsidR="00CC0055" w:rsidRDefault="0034171A" w:rsidP="0034171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CC0055">
        <w:rPr>
          <w:rFonts w:eastAsia="Times New Roman" w:cs="Times New Roman"/>
          <w:sz w:val="24"/>
          <w:szCs w:val="24"/>
          <w:lang w:eastAsia="es-CL"/>
        </w:rPr>
        <w:t>Sería importante mencionar en la metodología o los resultados, si es que algunos de los cuatro pacientes de esta serie tenían antecedentes de urolitiasis y tratamiento previo por esta patología. O si fue un hallazgo incidental durante el estudio pre-trasplante.</w:t>
      </w:r>
    </w:p>
    <w:p w14:paraId="60DDF1CF" w14:textId="77777777" w:rsidR="00CC0055" w:rsidRPr="00CC0055" w:rsidRDefault="00CC0055" w:rsidP="00CC0055">
      <w:pPr>
        <w:pStyle w:val="Prrafodelista"/>
        <w:rPr>
          <w:rFonts w:eastAsia="Times New Roman" w:cs="Times New Roman"/>
          <w:sz w:val="24"/>
          <w:szCs w:val="24"/>
          <w:lang w:eastAsia="es-CL"/>
        </w:rPr>
      </w:pPr>
    </w:p>
    <w:p w14:paraId="12018F2A" w14:textId="77777777" w:rsidR="00CC0055" w:rsidRDefault="00CC0055" w:rsidP="00CC0055">
      <w:pPr>
        <w:pStyle w:val="Prrafodelista"/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6A906EF4" w14:textId="57A923C2" w:rsidR="00CC0055" w:rsidRDefault="0034171A" w:rsidP="0034171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CC0055">
        <w:rPr>
          <w:rFonts w:eastAsia="Times New Roman" w:cs="Times New Roman"/>
          <w:sz w:val="24"/>
          <w:szCs w:val="24"/>
          <w:lang w:eastAsia="es-CL"/>
        </w:rPr>
        <w:t>En seguimiento mencionar cual es el "rango de seguimiento" que tiene la muestra de los pacientes.</w:t>
      </w:r>
    </w:p>
    <w:p w14:paraId="0ECDB2C1" w14:textId="77777777" w:rsidR="00CC0055" w:rsidRDefault="00CC0055" w:rsidP="00CC0055">
      <w:pPr>
        <w:pStyle w:val="Prrafodelista"/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64D5E7A7" w14:textId="044F5176" w:rsidR="00CC0055" w:rsidRDefault="0034171A" w:rsidP="0034171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CC0055">
        <w:rPr>
          <w:rFonts w:eastAsia="Times New Roman" w:cs="Times New Roman"/>
          <w:sz w:val="24"/>
          <w:szCs w:val="24"/>
          <w:lang w:eastAsia="es-CL"/>
        </w:rPr>
        <w:t xml:space="preserve">Finalmente creo sería muy importante incluir en la discusión y conclusiones las limitaciones del trabajo, considerando que es una muestra limitada y experiencia inicial con 4 casos de un centro particular. Pese a que han tenido muy buenos resultados, los casos han sido seleccionados a litiasis de solo 2-5 </w:t>
      </w:r>
      <w:proofErr w:type="spellStart"/>
      <w:r w:rsidRPr="00CC0055">
        <w:rPr>
          <w:rFonts w:eastAsia="Times New Roman" w:cs="Times New Roman"/>
          <w:sz w:val="24"/>
          <w:szCs w:val="24"/>
          <w:lang w:eastAsia="es-CL"/>
        </w:rPr>
        <w:t>mm.</w:t>
      </w:r>
      <w:proofErr w:type="spellEnd"/>
      <w:r w:rsidRPr="00CC0055">
        <w:rPr>
          <w:rFonts w:eastAsia="Times New Roman" w:cs="Times New Roman"/>
          <w:sz w:val="24"/>
          <w:szCs w:val="24"/>
          <w:lang w:eastAsia="es-CL"/>
        </w:rPr>
        <w:t xml:space="preserve"> Que no son necesariamente extrapolables a cálculos de mayor tamaño &gt;5 y &lt;15 </w:t>
      </w:r>
      <w:proofErr w:type="spellStart"/>
      <w:r w:rsidRPr="00CC0055">
        <w:rPr>
          <w:rFonts w:eastAsia="Times New Roman" w:cs="Times New Roman"/>
          <w:sz w:val="24"/>
          <w:szCs w:val="24"/>
          <w:lang w:eastAsia="es-CL"/>
        </w:rPr>
        <w:t>mm.</w:t>
      </w:r>
      <w:proofErr w:type="spellEnd"/>
      <w:r w:rsidRPr="00CC0055">
        <w:rPr>
          <w:rFonts w:eastAsia="Times New Roman" w:cs="Times New Roman"/>
          <w:sz w:val="24"/>
          <w:szCs w:val="24"/>
          <w:lang w:eastAsia="es-CL"/>
        </w:rPr>
        <w:t xml:space="preserve"> Dado que La Sociedad Internacional de Trasplante (TTS) recomienda no contraindicar la donación de donantes asintomáticos con un cálculo único, menor a 15 </w:t>
      </w:r>
      <w:proofErr w:type="spellStart"/>
      <w:r w:rsidRPr="00CC0055">
        <w:rPr>
          <w:rFonts w:eastAsia="Times New Roman" w:cs="Times New Roman"/>
          <w:sz w:val="24"/>
          <w:szCs w:val="24"/>
          <w:lang w:eastAsia="es-CL"/>
        </w:rPr>
        <w:t>mm.</w:t>
      </w:r>
      <w:proofErr w:type="spellEnd"/>
    </w:p>
    <w:p w14:paraId="56F43DF3" w14:textId="77777777" w:rsidR="00CC0055" w:rsidRPr="00CC0055" w:rsidRDefault="00CC0055" w:rsidP="00CC0055">
      <w:pPr>
        <w:pStyle w:val="Prrafodelista"/>
        <w:rPr>
          <w:rFonts w:eastAsia="Times New Roman" w:cs="Times New Roman"/>
          <w:sz w:val="24"/>
          <w:szCs w:val="24"/>
          <w:lang w:eastAsia="es-CL"/>
        </w:rPr>
      </w:pPr>
    </w:p>
    <w:p w14:paraId="71F4C9F2" w14:textId="77777777" w:rsidR="00CC0055" w:rsidRDefault="00CC0055" w:rsidP="00CC0055">
      <w:pPr>
        <w:pStyle w:val="Prrafodelista"/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53235875" w14:textId="661F964D" w:rsidR="00291847" w:rsidRPr="00CC0055" w:rsidRDefault="0034171A" w:rsidP="0034171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CL"/>
        </w:rPr>
      </w:pPr>
      <w:r w:rsidRPr="00CC0055">
        <w:rPr>
          <w:rFonts w:eastAsia="Times New Roman" w:cs="Times New Roman"/>
          <w:sz w:val="24"/>
          <w:szCs w:val="24"/>
          <w:lang w:eastAsia="es-CL"/>
        </w:rPr>
        <w:t>Finalmente, no se incluye un grupo control, correspondiente por ejemplo a trasplante de riñones de donante vivo con similar tipo de litiasis y seguimiento de ambos grupos que permita ver potenciales beneficios (seguridad y sin comprometer la viabilidad y/o éxito del injerto) del tratamiento previo al trasplante (ex vivo) y las complicaciones potenciales de la migración y complicaciones de obstrucción ureteral en el grupo control. Es una limitación del diseño, que al mencionarla, permite enriquecer la discusión y valorar los resultados obtenidos en forma más objetiva.</w:t>
      </w:r>
    </w:p>
    <w:p w14:paraId="0BF056AF" w14:textId="1E3A2DD3" w:rsidR="00CC0055" w:rsidRDefault="00CC0055" w:rsidP="0034171A">
      <w:pPr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38FCBE9C" w14:textId="53294109" w:rsidR="00CC0055" w:rsidRDefault="00CC0055" w:rsidP="0034171A">
      <w:pPr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70B0D25B" w14:textId="4A82CFF7" w:rsidR="00CC0055" w:rsidRDefault="00CC0055" w:rsidP="0034171A">
      <w:pPr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17710795" w14:textId="663C923A" w:rsidR="00CC0055" w:rsidRDefault="00CC0055" w:rsidP="0034171A">
      <w:pPr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3CC2B6A1" w14:textId="14E5061F" w:rsidR="00CC0055" w:rsidRDefault="00CC0055" w:rsidP="0034171A">
      <w:pPr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31289F9D" w14:textId="7E802764" w:rsidR="00CC0055" w:rsidRDefault="00CC0055" w:rsidP="0034171A">
      <w:pPr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6B62CC26" w14:textId="77777777" w:rsidR="00CC0055" w:rsidRDefault="00CC0055" w:rsidP="0034171A">
      <w:pPr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25CC4113" w14:textId="483ED08E" w:rsidR="00CC0055" w:rsidRDefault="00CC0055" w:rsidP="0034171A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s-CL"/>
        </w:rPr>
      </w:pPr>
      <w:r w:rsidRPr="00CC0055">
        <w:rPr>
          <w:rFonts w:eastAsia="Times New Roman" w:cs="Times New Roman"/>
          <w:b/>
          <w:bCs/>
          <w:sz w:val="24"/>
          <w:szCs w:val="24"/>
          <w:u w:val="single"/>
          <w:lang w:eastAsia="es-CL"/>
        </w:rPr>
        <w:lastRenderedPageBreak/>
        <w:t>Respuesta a Ob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es-CL"/>
        </w:rPr>
        <w:t>se</w:t>
      </w:r>
      <w:r w:rsidRPr="00CC0055">
        <w:rPr>
          <w:rFonts w:eastAsia="Times New Roman" w:cs="Times New Roman"/>
          <w:b/>
          <w:bCs/>
          <w:sz w:val="24"/>
          <w:szCs w:val="24"/>
          <w:u w:val="single"/>
          <w:lang w:eastAsia="es-CL"/>
        </w:rPr>
        <w:t>rvaciones</w:t>
      </w:r>
    </w:p>
    <w:p w14:paraId="2CD3B014" w14:textId="5016B699" w:rsidR="00CC0055" w:rsidRDefault="00CC0055" w:rsidP="0034171A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s-CL"/>
        </w:rPr>
      </w:pPr>
    </w:p>
    <w:p w14:paraId="1267E26D" w14:textId="090095A2" w:rsidR="00CC0055" w:rsidRDefault="00CC0055" w:rsidP="00CC0055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es-CL"/>
        </w:rPr>
      </w:pPr>
      <w:r>
        <w:rPr>
          <w:rFonts w:eastAsia="Times New Roman" w:cs="Times New Roman"/>
          <w:sz w:val="24"/>
          <w:szCs w:val="24"/>
          <w:lang w:eastAsia="es-CL"/>
        </w:rPr>
        <w:t xml:space="preserve">En </w:t>
      </w:r>
      <w:r w:rsidR="00E37DE3">
        <w:rPr>
          <w:rFonts w:eastAsia="Times New Roman" w:cs="Times New Roman"/>
          <w:sz w:val="24"/>
          <w:szCs w:val="24"/>
          <w:lang w:eastAsia="es-CL"/>
        </w:rPr>
        <w:t>M</w:t>
      </w:r>
      <w:r>
        <w:rPr>
          <w:rFonts w:eastAsia="Times New Roman" w:cs="Times New Roman"/>
          <w:sz w:val="24"/>
          <w:szCs w:val="24"/>
          <w:lang w:eastAsia="es-CL"/>
        </w:rPr>
        <w:t xml:space="preserve">aterial y Métodos se incluyó la referencia a la aprobación del comité de ética local y el consentimiento informado del procedimiento </w:t>
      </w:r>
    </w:p>
    <w:p w14:paraId="2FFA69F7" w14:textId="77777777" w:rsidR="00CC0055" w:rsidRDefault="00CC0055" w:rsidP="00CC0055">
      <w:pPr>
        <w:pStyle w:val="Prrafodelista"/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33866E10" w14:textId="44F02F8E" w:rsidR="00CC0055" w:rsidRDefault="00CC0055" w:rsidP="00CC0055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es-CL"/>
        </w:rPr>
      </w:pPr>
      <w:r>
        <w:rPr>
          <w:rFonts w:eastAsia="Times New Roman" w:cs="Times New Roman"/>
          <w:sz w:val="24"/>
          <w:szCs w:val="24"/>
          <w:lang w:eastAsia="es-CL"/>
        </w:rPr>
        <w:t>En resultados se explicita que los pacientes no tenían antecedentes o tratamientos previos por cálculos urinario</w:t>
      </w:r>
    </w:p>
    <w:p w14:paraId="0DB673FF" w14:textId="77777777" w:rsidR="00CC0055" w:rsidRPr="00CC0055" w:rsidRDefault="00CC0055" w:rsidP="00CC0055">
      <w:pPr>
        <w:pStyle w:val="Prrafodelista"/>
        <w:rPr>
          <w:rFonts w:eastAsia="Times New Roman" w:cs="Times New Roman"/>
          <w:sz w:val="24"/>
          <w:szCs w:val="24"/>
          <w:lang w:eastAsia="es-CL"/>
        </w:rPr>
      </w:pPr>
    </w:p>
    <w:p w14:paraId="4D5D41E9" w14:textId="77777777" w:rsidR="00CC0055" w:rsidRDefault="00CC0055" w:rsidP="00CC0055">
      <w:pPr>
        <w:pStyle w:val="Prrafodelista"/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0227ED07" w14:textId="684E733F" w:rsidR="00CC0055" w:rsidRDefault="00CC0055" w:rsidP="00CC0055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es-CL"/>
        </w:rPr>
      </w:pPr>
      <w:r>
        <w:rPr>
          <w:rFonts w:eastAsia="Times New Roman" w:cs="Times New Roman"/>
          <w:sz w:val="24"/>
          <w:szCs w:val="24"/>
          <w:lang w:eastAsia="es-CL"/>
        </w:rPr>
        <w:t xml:space="preserve">Se incluyó el rango de seguimiento </w:t>
      </w:r>
    </w:p>
    <w:p w14:paraId="24A81C5E" w14:textId="77777777" w:rsidR="00CC0055" w:rsidRDefault="00CC0055" w:rsidP="00CC0055">
      <w:pPr>
        <w:pStyle w:val="Prrafodelista"/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394694D6" w14:textId="18B3DA10" w:rsidR="00CC0055" w:rsidRDefault="00CC0055" w:rsidP="00CC0055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  <w:lang w:eastAsia="es-CL"/>
        </w:rPr>
      </w:pPr>
      <w:r>
        <w:rPr>
          <w:rFonts w:eastAsia="Times New Roman" w:cs="Times New Roman"/>
          <w:sz w:val="24"/>
          <w:szCs w:val="24"/>
          <w:lang w:eastAsia="es-CL"/>
        </w:rPr>
        <w:t>Y  5) Se incluyó un párrafo al final de la discusión incluyendo las limitantes de este estudio y la ausencia de un grupo control</w:t>
      </w:r>
    </w:p>
    <w:p w14:paraId="03BF4189" w14:textId="77777777" w:rsidR="00E37DE3" w:rsidRPr="00E37DE3" w:rsidRDefault="00E37DE3" w:rsidP="00E37DE3">
      <w:pPr>
        <w:pStyle w:val="Prrafodelista"/>
        <w:rPr>
          <w:rFonts w:eastAsia="Times New Roman" w:cs="Times New Roman"/>
          <w:sz w:val="24"/>
          <w:szCs w:val="24"/>
          <w:lang w:eastAsia="es-CL"/>
        </w:rPr>
      </w:pPr>
    </w:p>
    <w:p w14:paraId="46C16151" w14:textId="0107C7F3" w:rsidR="00E37DE3" w:rsidRDefault="00E37DE3" w:rsidP="00E37DE3">
      <w:pPr>
        <w:pStyle w:val="Prrafodelista"/>
        <w:jc w:val="both"/>
        <w:rPr>
          <w:rFonts w:eastAsia="Times New Roman" w:cs="Times New Roman"/>
          <w:sz w:val="24"/>
          <w:szCs w:val="24"/>
          <w:lang w:eastAsia="es-CL"/>
        </w:rPr>
      </w:pPr>
    </w:p>
    <w:p w14:paraId="228E5666" w14:textId="5A7819BA" w:rsidR="00E37DE3" w:rsidRPr="00E37DE3" w:rsidRDefault="00E37DE3" w:rsidP="00E37DE3">
      <w:pPr>
        <w:pStyle w:val="Prrafodelista"/>
        <w:jc w:val="both"/>
        <w:rPr>
          <w:rFonts w:eastAsia="Times New Roman" w:cs="Times New Roman"/>
          <w:b/>
          <w:bCs/>
          <w:sz w:val="24"/>
          <w:szCs w:val="24"/>
          <w:lang w:eastAsia="es-CL"/>
        </w:rPr>
      </w:pPr>
      <w:r w:rsidRPr="00E37DE3">
        <w:rPr>
          <w:rFonts w:eastAsia="Times New Roman" w:cs="Times New Roman"/>
          <w:b/>
          <w:bCs/>
          <w:sz w:val="24"/>
          <w:szCs w:val="24"/>
          <w:lang w:eastAsia="es-CL"/>
        </w:rPr>
        <w:t>LAS TABLAS Y FIGURAS DEL MANUSCRITO INICIAL NO SE HAN MODIFICADO</w:t>
      </w:r>
    </w:p>
    <w:p w14:paraId="39B7DD44" w14:textId="5DB05F74" w:rsidR="00CC0055" w:rsidRDefault="00CC0055" w:rsidP="0034171A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es-CL"/>
        </w:rPr>
      </w:pPr>
    </w:p>
    <w:p w14:paraId="524AD89B" w14:textId="77777777" w:rsidR="00CC0055" w:rsidRPr="00CC0055" w:rsidRDefault="00CC0055" w:rsidP="0034171A">
      <w:pPr>
        <w:jc w:val="both"/>
        <w:rPr>
          <w:sz w:val="24"/>
          <w:szCs w:val="24"/>
          <w:u w:val="single"/>
        </w:rPr>
      </w:pPr>
    </w:p>
    <w:sectPr w:rsidR="00CC0055" w:rsidRPr="00CC0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1A6D"/>
    <w:multiLevelType w:val="hybridMultilevel"/>
    <w:tmpl w:val="009E13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3683D"/>
    <w:multiLevelType w:val="hybridMultilevel"/>
    <w:tmpl w:val="6A8AA1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FF"/>
    <w:rsid w:val="00070142"/>
    <w:rsid w:val="001F6854"/>
    <w:rsid w:val="00291847"/>
    <w:rsid w:val="0034171A"/>
    <w:rsid w:val="00352464"/>
    <w:rsid w:val="003663FF"/>
    <w:rsid w:val="009E44A0"/>
    <w:rsid w:val="00B96229"/>
    <w:rsid w:val="00C31056"/>
    <w:rsid w:val="00CC0055"/>
    <w:rsid w:val="00E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Revista</cp:lastModifiedBy>
  <cp:revision>2</cp:revision>
  <dcterms:created xsi:type="dcterms:W3CDTF">2023-04-17T14:07:00Z</dcterms:created>
  <dcterms:modified xsi:type="dcterms:W3CDTF">2023-04-17T14:07:00Z</dcterms:modified>
</cp:coreProperties>
</file>