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3F" w:rsidRPr="000D6D3D" w:rsidRDefault="00E06B3F" w:rsidP="00E06B3F">
      <w:pPr>
        <w:spacing w:after="0" w:line="360" w:lineRule="auto"/>
        <w:rPr>
          <w:rFonts w:ascii="Times New Roman" w:hAnsi="Times New Roman" w:cs="Times New Roman"/>
          <w:b/>
          <w:sz w:val="24"/>
          <w:szCs w:val="24"/>
        </w:rPr>
      </w:pPr>
      <w:bookmarkStart w:id="0" w:name="_GoBack"/>
      <w:bookmarkEnd w:id="0"/>
      <w:proofErr w:type="spellStart"/>
      <w:r w:rsidRPr="000D6D3D">
        <w:rPr>
          <w:rFonts w:ascii="Times New Roman" w:hAnsi="Times New Roman" w:cs="Times New Roman"/>
          <w:b/>
          <w:sz w:val="24"/>
          <w:szCs w:val="24"/>
        </w:rPr>
        <w:t>Tocilizumab</w:t>
      </w:r>
      <w:proofErr w:type="spellEnd"/>
      <w:r w:rsidRPr="000D6D3D">
        <w:rPr>
          <w:rFonts w:ascii="Times New Roman" w:hAnsi="Times New Roman" w:cs="Times New Roman"/>
          <w:b/>
          <w:sz w:val="24"/>
          <w:szCs w:val="24"/>
        </w:rPr>
        <w:t xml:space="preserve"> en pacientes COVID-19: Evaluación del perfil de seguridad en una indicación off </w:t>
      </w:r>
      <w:proofErr w:type="spellStart"/>
      <w:r w:rsidRPr="000D6D3D">
        <w:rPr>
          <w:rFonts w:ascii="Times New Roman" w:hAnsi="Times New Roman" w:cs="Times New Roman"/>
          <w:b/>
          <w:sz w:val="24"/>
          <w:szCs w:val="24"/>
        </w:rPr>
        <w:t>label</w:t>
      </w:r>
      <w:proofErr w:type="spellEnd"/>
    </w:p>
    <w:p w:rsidR="00E06B3F" w:rsidRPr="000D6D3D" w:rsidRDefault="00E06B3F" w:rsidP="00E06B3F">
      <w:pPr>
        <w:spacing w:after="0" w:line="360" w:lineRule="auto"/>
        <w:rPr>
          <w:rFonts w:ascii="Times New Roman" w:hAnsi="Times New Roman" w:cs="Times New Roman"/>
          <w:sz w:val="24"/>
          <w:szCs w:val="24"/>
        </w:rPr>
      </w:pPr>
      <w:r w:rsidRPr="000D6D3D">
        <w:rPr>
          <w:rFonts w:ascii="Times New Roman" w:hAnsi="Times New Roman" w:cs="Times New Roman"/>
          <w:sz w:val="24"/>
          <w:szCs w:val="24"/>
        </w:rPr>
        <w:t xml:space="preserve">Reacciones adversas de </w:t>
      </w:r>
      <w:proofErr w:type="spellStart"/>
      <w:r w:rsidRPr="000D6D3D">
        <w:rPr>
          <w:rFonts w:ascii="Times New Roman" w:hAnsi="Times New Roman" w:cs="Times New Roman"/>
          <w:sz w:val="24"/>
          <w:szCs w:val="24"/>
        </w:rPr>
        <w:t>Tocilizumab</w:t>
      </w:r>
      <w:proofErr w:type="spellEnd"/>
      <w:r w:rsidRPr="000D6D3D">
        <w:rPr>
          <w:rFonts w:ascii="Times New Roman" w:hAnsi="Times New Roman" w:cs="Times New Roman"/>
          <w:sz w:val="24"/>
          <w:szCs w:val="24"/>
        </w:rPr>
        <w:t xml:space="preserve"> en COVID-19</w:t>
      </w:r>
    </w:p>
    <w:p w:rsidR="00E06B3F" w:rsidRPr="000D6D3D" w:rsidRDefault="00E06B3F" w:rsidP="00E06B3F">
      <w:pPr>
        <w:spacing w:after="0" w:line="360" w:lineRule="auto"/>
        <w:rPr>
          <w:rFonts w:ascii="Times New Roman" w:hAnsi="Times New Roman" w:cs="Times New Roman"/>
          <w:sz w:val="24"/>
          <w:szCs w:val="24"/>
          <w:lang w:val="es-ES"/>
        </w:rPr>
      </w:pPr>
    </w:p>
    <w:p w:rsidR="00E06B3F" w:rsidRPr="000D6D3D" w:rsidRDefault="00E06B3F" w:rsidP="00E06B3F">
      <w:pPr>
        <w:spacing w:after="0" w:line="360" w:lineRule="auto"/>
        <w:rPr>
          <w:rFonts w:ascii="Times New Roman" w:hAnsi="Times New Roman" w:cs="Times New Roman"/>
          <w:sz w:val="24"/>
          <w:szCs w:val="24"/>
          <w:lang w:val="es-ES"/>
        </w:rPr>
      </w:pPr>
      <w:r w:rsidRPr="000D6D3D">
        <w:rPr>
          <w:rFonts w:ascii="Times New Roman" w:hAnsi="Times New Roman" w:cs="Times New Roman"/>
          <w:sz w:val="24"/>
          <w:szCs w:val="24"/>
          <w:lang w:val="es-ES"/>
        </w:rPr>
        <w:t>Nicolás Severino</w:t>
      </w:r>
      <w:r w:rsidRPr="000D6D3D">
        <w:rPr>
          <w:rFonts w:ascii="Times New Roman" w:hAnsi="Times New Roman" w:cs="Times New Roman"/>
          <w:sz w:val="24"/>
          <w:szCs w:val="24"/>
          <w:vertAlign w:val="superscript"/>
          <w:lang w:val="es-ES"/>
        </w:rPr>
        <w:t>1,2,3,a,</w:t>
      </w:r>
      <w:r w:rsidR="002D5BE0" w:rsidRPr="000D6D3D">
        <w:rPr>
          <w:rFonts w:ascii="Times New Roman" w:hAnsi="Times New Roman" w:cs="Times New Roman"/>
          <w:sz w:val="24"/>
          <w:szCs w:val="24"/>
          <w:vertAlign w:val="superscript"/>
          <w:lang w:val="es-ES"/>
        </w:rPr>
        <w:t>b</w:t>
      </w:r>
      <w:r w:rsidRPr="000D6D3D">
        <w:rPr>
          <w:rFonts w:ascii="Times New Roman" w:hAnsi="Times New Roman" w:cs="Times New Roman"/>
          <w:sz w:val="24"/>
          <w:szCs w:val="24"/>
          <w:lang w:val="es-ES"/>
        </w:rPr>
        <w:t>, Waldo Gutierrez</w:t>
      </w:r>
      <w:r w:rsidRPr="000D6D3D">
        <w:rPr>
          <w:rFonts w:ascii="Times New Roman" w:hAnsi="Times New Roman" w:cs="Times New Roman"/>
          <w:sz w:val="24"/>
          <w:szCs w:val="24"/>
          <w:vertAlign w:val="superscript"/>
          <w:lang w:val="es-ES"/>
        </w:rPr>
        <w:t>3,a,</w:t>
      </w:r>
      <w:r w:rsidR="002D5BE0" w:rsidRPr="000D6D3D">
        <w:rPr>
          <w:rFonts w:ascii="Times New Roman" w:hAnsi="Times New Roman" w:cs="Times New Roman"/>
          <w:sz w:val="24"/>
          <w:szCs w:val="24"/>
          <w:vertAlign w:val="superscript"/>
          <w:lang w:val="es-ES"/>
        </w:rPr>
        <w:t>c</w:t>
      </w:r>
      <w:r w:rsidRPr="000D6D3D">
        <w:rPr>
          <w:rFonts w:ascii="Times New Roman" w:hAnsi="Times New Roman" w:cs="Times New Roman"/>
          <w:sz w:val="24"/>
          <w:szCs w:val="24"/>
          <w:lang w:val="es-ES"/>
        </w:rPr>
        <w:t>, Tamara Fuenzalida</w:t>
      </w:r>
      <w:r w:rsidRPr="000D6D3D">
        <w:rPr>
          <w:rFonts w:ascii="Times New Roman" w:hAnsi="Times New Roman" w:cs="Times New Roman"/>
          <w:sz w:val="24"/>
          <w:szCs w:val="24"/>
          <w:vertAlign w:val="superscript"/>
          <w:lang w:val="es-ES"/>
        </w:rPr>
        <w:t>3,a</w:t>
      </w:r>
      <w:r w:rsidRPr="000D6D3D">
        <w:rPr>
          <w:rFonts w:ascii="Times New Roman" w:hAnsi="Times New Roman" w:cs="Times New Roman"/>
          <w:sz w:val="24"/>
          <w:szCs w:val="24"/>
          <w:lang w:val="es-ES"/>
        </w:rPr>
        <w:t>, Pablo Iturra</w:t>
      </w:r>
      <w:r w:rsidRPr="000D6D3D">
        <w:rPr>
          <w:rFonts w:ascii="Times New Roman" w:hAnsi="Times New Roman" w:cs="Times New Roman"/>
          <w:sz w:val="24"/>
          <w:szCs w:val="24"/>
          <w:vertAlign w:val="superscript"/>
          <w:lang w:val="es-ES"/>
        </w:rPr>
        <w:t>1,a,</w:t>
      </w:r>
      <w:r w:rsidR="002D5BE0" w:rsidRPr="000D6D3D">
        <w:rPr>
          <w:rFonts w:ascii="Times New Roman" w:hAnsi="Times New Roman" w:cs="Times New Roman"/>
          <w:sz w:val="24"/>
          <w:szCs w:val="24"/>
          <w:vertAlign w:val="superscript"/>
          <w:lang w:val="es-ES"/>
        </w:rPr>
        <w:t>d</w:t>
      </w:r>
      <w:r w:rsidRPr="000D6D3D">
        <w:rPr>
          <w:rFonts w:ascii="Times New Roman" w:hAnsi="Times New Roman" w:cs="Times New Roman"/>
          <w:sz w:val="24"/>
          <w:szCs w:val="24"/>
          <w:lang w:val="es-ES"/>
        </w:rPr>
        <w:t>, Antonio González</w:t>
      </w:r>
      <w:r w:rsidRPr="000D6D3D">
        <w:rPr>
          <w:rFonts w:ascii="Times New Roman" w:hAnsi="Times New Roman" w:cs="Times New Roman"/>
          <w:sz w:val="24"/>
          <w:szCs w:val="24"/>
          <w:vertAlign w:val="superscript"/>
          <w:lang w:val="es-ES"/>
        </w:rPr>
        <w:t>1,3,</w:t>
      </w:r>
      <w:r w:rsidR="00055EC7" w:rsidRPr="000D6D3D">
        <w:rPr>
          <w:rFonts w:ascii="Times New Roman" w:hAnsi="Times New Roman" w:cs="Times New Roman"/>
          <w:sz w:val="24"/>
          <w:szCs w:val="24"/>
          <w:vertAlign w:val="superscript"/>
          <w:lang w:val="es-ES"/>
        </w:rPr>
        <w:t>4</w:t>
      </w:r>
      <w:r w:rsidRPr="000D6D3D">
        <w:rPr>
          <w:rFonts w:ascii="Times New Roman" w:hAnsi="Times New Roman" w:cs="Times New Roman"/>
          <w:sz w:val="24"/>
          <w:szCs w:val="24"/>
          <w:vertAlign w:val="superscript"/>
          <w:lang w:val="es-ES"/>
        </w:rPr>
        <w:t>,a</w:t>
      </w:r>
    </w:p>
    <w:p w:rsidR="00E06B3F" w:rsidRPr="000D6D3D" w:rsidRDefault="00E06B3F" w:rsidP="00E06B3F">
      <w:pPr>
        <w:pStyle w:val="Prrafodelista"/>
        <w:numPr>
          <w:ilvl w:val="0"/>
          <w:numId w:val="3"/>
        </w:num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lang w:val="es-ES"/>
        </w:rPr>
        <w:t xml:space="preserve">Programa de Farmacología y Toxicología. </w:t>
      </w:r>
      <w:r w:rsidRPr="000D6D3D">
        <w:rPr>
          <w:rFonts w:ascii="Times New Roman" w:hAnsi="Times New Roman" w:cs="Times New Roman"/>
          <w:sz w:val="24"/>
          <w:szCs w:val="24"/>
        </w:rPr>
        <w:t>Escuela de Medicina. Facultad de</w:t>
      </w:r>
    </w:p>
    <w:p w:rsidR="00E06B3F" w:rsidRPr="000D6D3D" w:rsidRDefault="00E06B3F" w:rsidP="00E06B3F">
      <w:pPr>
        <w:spacing w:after="0" w:line="360" w:lineRule="auto"/>
        <w:rPr>
          <w:rFonts w:ascii="Times New Roman" w:hAnsi="Times New Roman" w:cs="Times New Roman"/>
          <w:sz w:val="24"/>
          <w:szCs w:val="24"/>
        </w:rPr>
      </w:pPr>
      <w:r w:rsidRPr="000D6D3D">
        <w:rPr>
          <w:rFonts w:ascii="Times New Roman" w:hAnsi="Times New Roman" w:cs="Times New Roman"/>
          <w:sz w:val="24"/>
          <w:szCs w:val="24"/>
        </w:rPr>
        <w:t>Medicina. Pontificia Universidad Católica de Chile.</w:t>
      </w:r>
    </w:p>
    <w:p w:rsidR="00E06B3F" w:rsidRPr="000D6D3D" w:rsidRDefault="00E06B3F" w:rsidP="00E06B3F">
      <w:pPr>
        <w:pStyle w:val="Prrafodelista"/>
        <w:numPr>
          <w:ilvl w:val="0"/>
          <w:numId w:val="3"/>
        </w:num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lang w:val="es-ES"/>
        </w:rPr>
        <w:t xml:space="preserve">Departamento de Medicina Intensiva. Escuela de Medicina. </w:t>
      </w:r>
      <w:r w:rsidRPr="000D6D3D">
        <w:rPr>
          <w:rFonts w:ascii="Times New Roman" w:hAnsi="Times New Roman" w:cs="Times New Roman"/>
          <w:sz w:val="24"/>
          <w:szCs w:val="24"/>
        </w:rPr>
        <w:t>Facultad de</w:t>
      </w:r>
    </w:p>
    <w:p w:rsidR="00E06B3F" w:rsidRPr="000D6D3D" w:rsidRDefault="00E06B3F" w:rsidP="00E06B3F">
      <w:pPr>
        <w:spacing w:after="0" w:line="360" w:lineRule="auto"/>
        <w:rPr>
          <w:rFonts w:ascii="Times New Roman" w:hAnsi="Times New Roman" w:cs="Times New Roman"/>
          <w:sz w:val="24"/>
          <w:szCs w:val="24"/>
        </w:rPr>
      </w:pPr>
      <w:r w:rsidRPr="000D6D3D">
        <w:rPr>
          <w:rFonts w:ascii="Times New Roman" w:hAnsi="Times New Roman" w:cs="Times New Roman"/>
          <w:sz w:val="24"/>
          <w:szCs w:val="24"/>
        </w:rPr>
        <w:t>Medicina. Pontificia Universidad Católica de Chile.</w:t>
      </w:r>
    </w:p>
    <w:p w:rsidR="00E06B3F" w:rsidRPr="000D6D3D" w:rsidRDefault="00E06B3F" w:rsidP="00E06B3F">
      <w:pPr>
        <w:pStyle w:val="Prrafodelista"/>
        <w:numPr>
          <w:ilvl w:val="0"/>
          <w:numId w:val="3"/>
        </w:numPr>
        <w:spacing w:after="0" w:line="360" w:lineRule="auto"/>
        <w:rPr>
          <w:rFonts w:ascii="Times New Roman" w:hAnsi="Times New Roman" w:cs="Times New Roman"/>
          <w:sz w:val="24"/>
          <w:szCs w:val="24"/>
          <w:lang w:val="es-ES"/>
        </w:rPr>
      </w:pPr>
      <w:r w:rsidRPr="000D6D3D">
        <w:rPr>
          <w:rFonts w:ascii="Times New Roman" w:hAnsi="Times New Roman" w:cs="Times New Roman"/>
          <w:sz w:val="24"/>
          <w:szCs w:val="24"/>
          <w:lang w:val="es-ES"/>
        </w:rPr>
        <w:t>Servicio de Farmacia. Hospital Clínico UC-</w:t>
      </w:r>
      <w:proofErr w:type="spellStart"/>
      <w:r w:rsidRPr="000D6D3D">
        <w:rPr>
          <w:rFonts w:ascii="Times New Roman" w:hAnsi="Times New Roman" w:cs="Times New Roman"/>
          <w:sz w:val="24"/>
          <w:szCs w:val="24"/>
          <w:lang w:val="es-ES"/>
        </w:rPr>
        <w:t>Christus</w:t>
      </w:r>
      <w:proofErr w:type="spellEnd"/>
      <w:r w:rsidRPr="000D6D3D">
        <w:rPr>
          <w:rFonts w:ascii="Times New Roman" w:hAnsi="Times New Roman" w:cs="Times New Roman"/>
          <w:sz w:val="24"/>
          <w:szCs w:val="24"/>
          <w:lang w:val="es-ES"/>
        </w:rPr>
        <w:t>. Santiago, Chile.</w:t>
      </w:r>
    </w:p>
    <w:p w:rsidR="00E06B3F" w:rsidRPr="000D6D3D" w:rsidRDefault="00E06B3F" w:rsidP="00E06B3F">
      <w:pPr>
        <w:pStyle w:val="Prrafodelista"/>
        <w:numPr>
          <w:ilvl w:val="0"/>
          <w:numId w:val="3"/>
        </w:num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lang w:val="es-ES"/>
        </w:rPr>
        <w:t xml:space="preserve">Departamento de Hematología-Oncología. Escuela de Medicina. </w:t>
      </w:r>
      <w:r w:rsidRPr="000D6D3D">
        <w:rPr>
          <w:rFonts w:ascii="Times New Roman" w:hAnsi="Times New Roman" w:cs="Times New Roman"/>
          <w:sz w:val="24"/>
          <w:szCs w:val="24"/>
        </w:rPr>
        <w:t>Facultad de</w:t>
      </w:r>
    </w:p>
    <w:p w:rsidR="00E06B3F" w:rsidRPr="000D6D3D" w:rsidRDefault="00E06B3F" w:rsidP="00E06B3F">
      <w:pPr>
        <w:spacing w:after="0" w:line="360" w:lineRule="auto"/>
        <w:rPr>
          <w:rFonts w:ascii="Times New Roman" w:hAnsi="Times New Roman" w:cs="Times New Roman"/>
          <w:sz w:val="24"/>
          <w:szCs w:val="24"/>
        </w:rPr>
      </w:pPr>
      <w:r w:rsidRPr="000D6D3D">
        <w:rPr>
          <w:rFonts w:ascii="Times New Roman" w:hAnsi="Times New Roman" w:cs="Times New Roman"/>
          <w:sz w:val="24"/>
          <w:szCs w:val="24"/>
        </w:rPr>
        <w:t>Medicina. Pontificia Universidad Católica de Chile.</w:t>
      </w:r>
    </w:p>
    <w:p w:rsidR="00E06B3F" w:rsidRPr="000D6D3D" w:rsidRDefault="00E06B3F" w:rsidP="00E06B3F">
      <w:pPr>
        <w:pStyle w:val="Prrafodelista"/>
        <w:numPr>
          <w:ilvl w:val="0"/>
          <w:numId w:val="4"/>
        </w:numPr>
        <w:spacing w:after="0" w:line="360" w:lineRule="auto"/>
        <w:rPr>
          <w:rFonts w:ascii="Times New Roman" w:hAnsi="Times New Roman" w:cs="Times New Roman"/>
          <w:sz w:val="24"/>
          <w:szCs w:val="24"/>
          <w:lang w:val="es-ES"/>
        </w:rPr>
      </w:pPr>
      <w:r w:rsidRPr="000D6D3D">
        <w:rPr>
          <w:rFonts w:ascii="Times New Roman" w:hAnsi="Times New Roman" w:cs="Times New Roman"/>
          <w:sz w:val="24"/>
          <w:szCs w:val="24"/>
          <w:lang w:val="es-ES"/>
        </w:rPr>
        <w:t>Químico Farmacéutico</w:t>
      </w:r>
    </w:p>
    <w:p w:rsidR="002D5BE0" w:rsidRPr="000D6D3D" w:rsidRDefault="002D5BE0" w:rsidP="002D5BE0">
      <w:pPr>
        <w:pStyle w:val="Prrafodelista"/>
        <w:numPr>
          <w:ilvl w:val="0"/>
          <w:numId w:val="4"/>
        </w:numPr>
        <w:spacing w:after="0" w:line="360" w:lineRule="auto"/>
        <w:rPr>
          <w:rFonts w:ascii="Times New Roman" w:hAnsi="Times New Roman" w:cs="Times New Roman"/>
          <w:sz w:val="24"/>
          <w:szCs w:val="24"/>
          <w:lang w:val="es-ES"/>
        </w:rPr>
      </w:pPr>
      <w:proofErr w:type="spellStart"/>
      <w:r w:rsidRPr="000D6D3D">
        <w:rPr>
          <w:rFonts w:ascii="Times New Roman" w:hAnsi="Times New Roman" w:cs="Times New Roman"/>
          <w:sz w:val="24"/>
          <w:szCs w:val="24"/>
          <w:lang w:val="es-ES"/>
        </w:rPr>
        <w:t>MSc</w:t>
      </w:r>
      <w:proofErr w:type="spellEnd"/>
      <w:r w:rsidRPr="000D6D3D">
        <w:rPr>
          <w:rFonts w:ascii="Times New Roman" w:hAnsi="Times New Roman" w:cs="Times New Roman"/>
          <w:sz w:val="24"/>
          <w:szCs w:val="24"/>
          <w:lang w:val="es-ES"/>
        </w:rPr>
        <w:t xml:space="preserve"> Epidemiología</w:t>
      </w:r>
    </w:p>
    <w:p w:rsidR="002D5BE0" w:rsidRPr="000D6D3D" w:rsidRDefault="002D5BE0" w:rsidP="002D5BE0">
      <w:pPr>
        <w:pStyle w:val="Prrafodelista"/>
        <w:numPr>
          <w:ilvl w:val="0"/>
          <w:numId w:val="4"/>
        </w:numPr>
        <w:spacing w:after="0" w:line="360" w:lineRule="auto"/>
        <w:rPr>
          <w:rFonts w:ascii="Times New Roman" w:hAnsi="Times New Roman" w:cs="Times New Roman"/>
          <w:sz w:val="24"/>
          <w:szCs w:val="24"/>
          <w:lang w:val="es-ES"/>
        </w:rPr>
      </w:pPr>
      <w:proofErr w:type="spellStart"/>
      <w:r w:rsidRPr="000D6D3D">
        <w:rPr>
          <w:rFonts w:ascii="Times New Roman" w:hAnsi="Times New Roman" w:cs="Times New Roman"/>
          <w:sz w:val="24"/>
          <w:szCs w:val="24"/>
          <w:lang w:val="es-ES"/>
        </w:rPr>
        <w:t>MSc</w:t>
      </w:r>
      <w:proofErr w:type="spellEnd"/>
      <w:r w:rsidRPr="000D6D3D">
        <w:rPr>
          <w:rFonts w:ascii="Times New Roman" w:hAnsi="Times New Roman" w:cs="Times New Roman"/>
          <w:sz w:val="24"/>
          <w:szCs w:val="24"/>
          <w:lang w:val="es-ES"/>
        </w:rPr>
        <w:t xml:space="preserve"> Farmacología</w:t>
      </w:r>
    </w:p>
    <w:p w:rsidR="00E06B3F" w:rsidRPr="000D6D3D" w:rsidRDefault="00E06B3F" w:rsidP="00E06B3F">
      <w:pPr>
        <w:pStyle w:val="Prrafodelista"/>
        <w:numPr>
          <w:ilvl w:val="0"/>
          <w:numId w:val="4"/>
        </w:numPr>
        <w:spacing w:after="0" w:line="360" w:lineRule="auto"/>
        <w:rPr>
          <w:rFonts w:ascii="Times New Roman" w:hAnsi="Times New Roman" w:cs="Times New Roman"/>
          <w:sz w:val="24"/>
          <w:szCs w:val="24"/>
          <w:lang w:val="es-ES"/>
        </w:rPr>
      </w:pPr>
      <w:r w:rsidRPr="000D6D3D">
        <w:rPr>
          <w:rFonts w:ascii="Times New Roman" w:hAnsi="Times New Roman" w:cs="Times New Roman"/>
          <w:sz w:val="24"/>
          <w:szCs w:val="24"/>
          <w:lang w:val="es-ES"/>
        </w:rPr>
        <w:t>PhD Farmacología</w:t>
      </w:r>
    </w:p>
    <w:p w:rsidR="00E06B3F" w:rsidRPr="000D6D3D" w:rsidRDefault="00E06B3F" w:rsidP="00E06B3F">
      <w:pPr>
        <w:autoSpaceDE w:val="0"/>
        <w:autoSpaceDN w:val="0"/>
        <w:adjustRightInd w:val="0"/>
        <w:spacing w:after="0" w:line="360" w:lineRule="auto"/>
        <w:rPr>
          <w:rFonts w:ascii="Times New Roman" w:hAnsi="Times New Roman" w:cs="Times New Roman"/>
          <w:b/>
          <w:bCs/>
          <w:sz w:val="24"/>
          <w:szCs w:val="24"/>
        </w:rPr>
      </w:pPr>
    </w:p>
    <w:p w:rsidR="00E06B3F" w:rsidRPr="000D6D3D" w:rsidRDefault="00E06B3F" w:rsidP="00E06B3F">
      <w:pPr>
        <w:autoSpaceDE w:val="0"/>
        <w:autoSpaceDN w:val="0"/>
        <w:adjustRightInd w:val="0"/>
        <w:spacing w:after="0" w:line="360" w:lineRule="auto"/>
        <w:rPr>
          <w:rFonts w:ascii="Times New Roman" w:hAnsi="Times New Roman" w:cs="Times New Roman"/>
          <w:b/>
          <w:bCs/>
          <w:sz w:val="24"/>
          <w:szCs w:val="24"/>
        </w:rPr>
      </w:pPr>
      <w:r w:rsidRPr="000D6D3D">
        <w:rPr>
          <w:rFonts w:ascii="Times New Roman" w:hAnsi="Times New Roman" w:cs="Times New Roman"/>
          <w:b/>
          <w:bCs/>
          <w:sz w:val="24"/>
          <w:szCs w:val="24"/>
        </w:rPr>
        <w:t>Autor para correspondencia:</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QF Nicolás Severino</w:t>
      </w:r>
      <w:r w:rsidR="0058355D" w:rsidRPr="000D6D3D">
        <w:rPr>
          <w:rFonts w:ascii="Times New Roman" w:hAnsi="Times New Roman" w:cs="Times New Roman"/>
          <w:sz w:val="24"/>
          <w:szCs w:val="24"/>
        </w:rPr>
        <w:t xml:space="preserve"> Cuevas</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Programa de Farmacología y Toxicología.</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Escuela de Medicina. Facultad de Medicina.</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Pontificia Universidad Católica de Chile.</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Santiago, Chile.</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Teléfono: +56223543192</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E-mail: nseverin@med.puc.cl</w:t>
      </w:r>
    </w:p>
    <w:p w:rsidR="00E06B3F" w:rsidRPr="000D6D3D" w:rsidRDefault="00E06B3F" w:rsidP="00E06B3F">
      <w:pPr>
        <w:autoSpaceDE w:val="0"/>
        <w:autoSpaceDN w:val="0"/>
        <w:adjustRightInd w:val="0"/>
        <w:spacing w:after="0" w:line="360" w:lineRule="auto"/>
        <w:rPr>
          <w:rFonts w:ascii="Times New Roman" w:hAnsi="Times New Roman" w:cs="Times New Roman"/>
          <w:sz w:val="24"/>
          <w:szCs w:val="24"/>
        </w:rPr>
      </w:pPr>
      <w:r w:rsidRPr="000D6D3D">
        <w:rPr>
          <w:rFonts w:ascii="Times New Roman" w:hAnsi="Times New Roman" w:cs="Times New Roman"/>
          <w:sz w:val="24"/>
          <w:szCs w:val="24"/>
        </w:rPr>
        <w:t>Sin fuente de apoyo financiero.</w:t>
      </w:r>
    </w:p>
    <w:p w:rsidR="00E06B3F" w:rsidRPr="000D6D3D" w:rsidRDefault="00E06B3F" w:rsidP="00E06B3F"/>
    <w:p w:rsidR="00E06B3F" w:rsidRPr="000D6D3D" w:rsidRDefault="00E06B3F" w:rsidP="00E06B3F"/>
    <w:p w:rsidR="00E06B3F" w:rsidRPr="000D6D3D" w:rsidRDefault="00E06B3F" w:rsidP="00E06B3F"/>
    <w:p w:rsidR="00E06B3F" w:rsidRPr="000D6D3D" w:rsidRDefault="00E06B3F" w:rsidP="00FE7C1D">
      <w:pPr>
        <w:spacing w:after="0" w:line="360" w:lineRule="auto"/>
        <w:rPr>
          <w:rFonts w:ascii="Times New Roman" w:hAnsi="Times New Roman" w:cs="Times New Roman"/>
          <w:b/>
          <w:sz w:val="24"/>
          <w:szCs w:val="24"/>
        </w:rPr>
      </w:pPr>
    </w:p>
    <w:p w:rsidR="00FE7C1D" w:rsidRPr="000D6D3D" w:rsidRDefault="00FE7C1D" w:rsidP="00FE7C1D">
      <w:pPr>
        <w:spacing w:after="0" w:line="360" w:lineRule="auto"/>
        <w:rPr>
          <w:rFonts w:ascii="Times New Roman" w:hAnsi="Times New Roman" w:cs="Times New Roman"/>
          <w:b/>
          <w:sz w:val="24"/>
          <w:szCs w:val="24"/>
        </w:rPr>
      </w:pPr>
      <w:r w:rsidRPr="000D6D3D">
        <w:rPr>
          <w:rFonts w:ascii="Times New Roman" w:hAnsi="Times New Roman" w:cs="Times New Roman"/>
          <w:b/>
          <w:sz w:val="24"/>
          <w:szCs w:val="24"/>
        </w:rPr>
        <w:lastRenderedPageBreak/>
        <w:t>Resumen</w:t>
      </w:r>
    </w:p>
    <w:p w:rsidR="00FE7C1D" w:rsidRPr="000D6D3D" w:rsidRDefault="00FE7C1D" w:rsidP="00FE7C1D">
      <w:pPr>
        <w:spacing w:after="0" w:line="360" w:lineRule="auto"/>
        <w:rPr>
          <w:rFonts w:ascii="Times New Roman" w:hAnsi="Times New Roman" w:cs="Times New Roman"/>
          <w:sz w:val="24"/>
          <w:szCs w:val="24"/>
        </w:rPr>
      </w:pPr>
    </w:p>
    <w:p w:rsidR="00FE7C1D" w:rsidRPr="000D6D3D" w:rsidRDefault="00FE7C1D" w:rsidP="00FE7C1D">
      <w:pPr>
        <w:spacing w:after="0" w:line="360" w:lineRule="auto"/>
        <w:jc w:val="both"/>
        <w:rPr>
          <w:rFonts w:ascii="Times New Roman" w:hAnsi="Times New Roman" w:cs="Times New Roman"/>
          <w:sz w:val="24"/>
          <w:szCs w:val="24"/>
        </w:rPr>
      </w:pPr>
      <w:proofErr w:type="spellStart"/>
      <w:r w:rsidRPr="000D6D3D">
        <w:rPr>
          <w:rFonts w:ascii="Times New Roman" w:hAnsi="Times New Roman" w:cs="Times New Roman"/>
          <w:sz w:val="24"/>
          <w:szCs w:val="24"/>
        </w:rPr>
        <w:t>Tocilizumab</w:t>
      </w:r>
      <w:proofErr w:type="spellEnd"/>
      <w:r w:rsidRPr="000D6D3D">
        <w:rPr>
          <w:rFonts w:ascii="Times New Roman" w:hAnsi="Times New Roman" w:cs="Times New Roman"/>
          <w:sz w:val="24"/>
          <w:szCs w:val="24"/>
        </w:rPr>
        <w:t xml:space="preserve"> (TCZ) </w:t>
      </w:r>
      <w:r w:rsidR="00C76900" w:rsidRPr="000D6D3D">
        <w:rPr>
          <w:rFonts w:ascii="Times New Roman" w:hAnsi="Times New Roman" w:cs="Times New Roman"/>
          <w:sz w:val="24"/>
          <w:szCs w:val="24"/>
        </w:rPr>
        <w:t>es</w:t>
      </w:r>
      <w:r w:rsidRPr="000D6D3D">
        <w:rPr>
          <w:rFonts w:ascii="Times New Roman" w:hAnsi="Times New Roman" w:cs="Times New Roman"/>
          <w:sz w:val="24"/>
          <w:szCs w:val="24"/>
        </w:rPr>
        <w:t xml:space="preserve"> </w:t>
      </w:r>
      <w:r w:rsidR="00C76900" w:rsidRPr="000D6D3D">
        <w:rPr>
          <w:rFonts w:ascii="Times New Roman" w:hAnsi="Times New Roman" w:cs="Times New Roman"/>
          <w:sz w:val="24"/>
          <w:szCs w:val="24"/>
        </w:rPr>
        <w:t>una nueva</w:t>
      </w:r>
      <w:r w:rsidRPr="000D6D3D">
        <w:rPr>
          <w:rFonts w:ascii="Times New Roman" w:hAnsi="Times New Roman" w:cs="Times New Roman"/>
          <w:sz w:val="24"/>
          <w:szCs w:val="24"/>
        </w:rPr>
        <w:t xml:space="preserve"> alternativa terapéutica para los casos graves de neumonía por COVID-19. Sin embargo, pocos estudios han reportado la ocurrencia de reacciones adversas (RAM) en este nuevo escenario. Los objetivos </w:t>
      </w:r>
      <w:r w:rsidR="00C76900" w:rsidRPr="000D6D3D">
        <w:rPr>
          <w:rFonts w:ascii="Times New Roman" w:hAnsi="Times New Roman" w:cs="Times New Roman"/>
          <w:sz w:val="24"/>
          <w:szCs w:val="24"/>
        </w:rPr>
        <w:t xml:space="preserve">del estudio </w:t>
      </w:r>
      <w:r w:rsidRPr="000D6D3D">
        <w:rPr>
          <w:rFonts w:ascii="Times New Roman" w:hAnsi="Times New Roman" w:cs="Times New Roman"/>
          <w:sz w:val="24"/>
          <w:szCs w:val="24"/>
        </w:rPr>
        <w:t>fueron</w:t>
      </w:r>
      <w:r w:rsidR="00A22B98" w:rsidRPr="000D6D3D">
        <w:rPr>
          <w:rFonts w:ascii="Times New Roman" w:hAnsi="Times New Roman" w:cs="Times New Roman"/>
          <w:sz w:val="24"/>
          <w:szCs w:val="24"/>
        </w:rPr>
        <w:t>:</w:t>
      </w:r>
      <w:r w:rsidRPr="000D6D3D">
        <w:rPr>
          <w:rFonts w:ascii="Times New Roman" w:hAnsi="Times New Roman" w:cs="Times New Roman"/>
          <w:sz w:val="24"/>
          <w:szCs w:val="24"/>
        </w:rPr>
        <w:t xml:space="preserve"> evaluar la incidencia acumulada (IA) de sospechas de RAM por TCZ en pacientes adult</w:t>
      </w:r>
      <w:r w:rsidR="0055617D" w:rsidRPr="000D6D3D">
        <w:rPr>
          <w:rFonts w:ascii="Times New Roman" w:hAnsi="Times New Roman" w:cs="Times New Roman"/>
          <w:sz w:val="24"/>
          <w:szCs w:val="24"/>
        </w:rPr>
        <w:t xml:space="preserve">os con diagnóstico de COVID-19; </w:t>
      </w:r>
      <w:r w:rsidRPr="000D6D3D">
        <w:rPr>
          <w:rFonts w:ascii="Times New Roman" w:hAnsi="Times New Roman" w:cs="Times New Roman"/>
          <w:sz w:val="24"/>
          <w:szCs w:val="24"/>
        </w:rPr>
        <w:t>determinar la causalidad y preventibilidad de éstas.</w:t>
      </w:r>
    </w:p>
    <w:p w:rsidR="00FE7C1D" w:rsidRPr="000D6D3D" w:rsidRDefault="00FE7C1D" w:rsidP="00FE7C1D">
      <w:pPr>
        <w:spacing w:after="0" w:line="360" w:lineRule="auto"/>
        <w:jc w:val="both"/>
        <w:rPr>
          <w:rFonts w:ascii="Times New Roman" w:eastAsia="Times New Roman" w:hAnsi="Times New Roman" w:cs="Times New Roman"/>
          <w:sz w:val="24"/>
          <w:szCs w:val="24"/>
          <w:shd w:val="clear" w:color="auto" w:fill="FFFFFF"/>
          <w:lang w:val="es-ES" w:eastAsia="es-ES"/>
        </w:rPr>
      </w:pPr>
      <w:r w:rsidRPr="000D6D3D">
        <w:rPr>
          <w:rFonts w:ascii="Times New Roman" w:hAnsi="Times New Roman" w:cs="Times New Roman"/>
          <w:b/>
          <w:sz w:val="24"/>
          <w:szCs w:val="24"/>
          <w:lang w:val="es-ES"/>
        </w:rPr>
        <w:t>Material y métodos</w:t>
      </w:r>
      <w:r w:rsidRPr="000D6D3D">
        <w:rPr>
          <w:rFonts w:ascii="Times New Roman" w:hAnsi="Times New Roman" w:cs="Times New Roman"/>
          <w:sz w:val="24"/>
          <w:szCs w:val="24"/>
          <w:lang w:val="es-ES"/>
        </w:rPr>
        <w:t xml:space="preserve">: </w:t>
      </w:r>
      <w:r w:rsidRPr="000D6D3D">
        <w:rPr>
          <w:rFonts w:ascii="Times New Roman" w:eastAsia="Times New Roman" w:hAnsi="Times New Roman" w:cs="Times New Roman"/>
          <w:sz w:val="24"/>
          <w:szCs w:val="24"/>
          <w:lang w:val="es-ES" w:eastAsia="es-ES"/>
        </w:rPr>
        <w:t xml:space="preserve">Estudio de Cohorte no concurrente, descriptivo. Incluyó a pacientes mayores de 18 años, que recibieron al menos una dosis de TCZ </w:t>
      </w:r>
      <w:r w:rsidRPr="000D6D3D">
        <w:rPr>
          <w:rFonts w:ascii="Times New Roman" w:eastAsia="Times New Roman" w:hAnsi="Times New Roman" w:cs="Times New Roman"/>
          <w:sz w:val="24"/>
          <w:szCs w:val="24"/>
          <w:lang w:eastAsia="es-ES"/>
        </w:rPr>
        <w:t>entre los meses de mayo a agosto del 2020</w:t>
      </w:r>
      <w:r w:rsidR="001E67FC" w:rsidRPr="000D6D3D">
        <w:rPr>
          <w:rFonts w:ascii="Times New Roman" w:eastAsia="Times New Roman" w:hAnsi="Times New Roman" w:cs="Times New Roman"/>
          <w:sz w:val="24"/>
          <w:szCs w:val="24"/>
          <w:lang w:eastAsia="es-ES"/>
        </w:rPr>
        <w:t xml:space="preserve"> en el Hospital Clínico UC-</w:t>
      </w:r>
      <w:proofErr w:type="spellStart"/>
      <w:r w:rsidR="001E67FC" w:rsidRPr="000D6D3D">
        <w:rPr>
          <w:rFonts w:ascii="Times New Roman" w:eastAsia="Times New Roman" w:hAnsi="Times New Roman" w:cs="Times New Roman"/>
          <w:sz w:val="24"/>
          <w:szCs w:val="24"/>
          <w:lang w:eastAsia="es-ES"/>
        </w:rPr>
        <w:t>Christus</w:t>
      </w:r>
      <w:proofErr w:type="spellEnd"/>
      <w:r w:rsidRPr="000D6D3D">
        <w:rPr>
          <w:rFonts w:ascii="Times New Roman" w:eastAsia="Times New Roman" w:hAnsi="Times New Roman" w:cs="Times New Roman"/>
          <w:sz w:val="24"/>
          <w:szCs w:val="24"/>
          <w:lang w:eastAsia="es-ES"/>
        </w:rPr>
        <w:t xml:space="preserve">. </w:t>
      </w:r>
      <w:r w:rsidRPr="000D6D3D">
        <w:rPr>
          <w:rFonts w:ascii="Times New Roman" w:eastAsia="Times New Roman" w:hAnsi="Times New Roman" w:cs="Times New Roman"/>
          <w:sz w:val="24"/>
          <w:szCs w:val="24"/>
          <w:lang w:val="es-ES" w:eastAsia="es-ES"/>
        </w:rPr>
        <w:t xml:space="preserve">Las RAM no infecciosas fueron categorizadas según </w:t>
      </w:r>
      <w:r w:rsidR="00110A3A" w:rsidRPr="000D6D3D">
        <w:rPr>
          <w:rFonts w:ascii="Times New Roman" w:eastAsia="Times New Roman" w:hAnsi="Times New Roman" w:cs="Times New Roman"/>
          <w:sz w:val="24"/>
          <w:szCs w:val="24"/>
          <w:shd w:val="clear" w:color="auto" w:fill="FFFFFF"/>
          <w:lang w:val="es-ES" w:eastAsia="es-ES"/>
        </w:rPr>
        <w:t>CTCAE</w:t>
      </w:r>
      <w:r w:rsidRPr="000D6D3D">
        <w:rPr>
          <w:rFonts w:ascii="Times New Roman" w:eastAsia="Times New Roman" w:hAnsi="Times New Roman" w:cs="Times New Roman"/>
          <w:sz w:val="24"/>
          <w:szCs w:val="24"/>
          <w:shd w:val="clear" w:color="auto" w:fill="FFFFFF"/>
          <w:lang w:val="es-ES" w:eastAsia="es-ES"/>
        </w:rPr>
        <w:t xml:space="preserve"> </w:t>
      </w:r>
      <w:r w:rsidR="00110A3A" w:rsidRPr="000D6D3D">
        <w:rPr>
          <w:rFonts w:ascii="Times New Roman" w:eastAsia="Times New Roman" w:hAnsi="Times New Roman" w:cs="Times New Roman"/>
          <w:sz w:val="24"/>
          <w:szCs w:val="24"/>
          <w:shd w:val="clear" w:color="auto" w:fill="FFFFFF"/>
          <w:lang w:val="es-ES" w:eastAsia="es-ES"/>
        </w:rPr>
        <w:t xml:space="preserve">y el desarrollo de infección, </w:t>
      </w:r>
      <w:r w:rsidRPr="000D6D3D">
        <w:rPr>
          <w:rFonts w:ascii="Times New Roman" w:eastAsia="Times New Roman" w:hAnsi="Times New Roman" w:cs="Times New Roman"/>
          <w:sz w:val="24"/>
          <w:szCs w:val="24"/>
          <w:shd w:val="clear" w:color="auto" w:fill="FFFFFF"/>
          <w:lang w:val="es-ES" w:eastAsia="es-ES"/>
        </w:rPr>
        <w:t xml:space="preserve">como presente </w:t>
      </w:r>
      <w:r w:rsidR="00110A3A" w:rsidRPr="000D6D3D">
        <w:rPr>
          <w:rFonts w:ascii="Times New Roman" w:eastAsia="Times New Roman" w:hAnsi="Times New Roman" w:cs="Times New Roman"/>
          <w:sz w:val="24"/>
          <w:szCs w:val="24"/>
          <w:shd w:val="clear" w:color="auto" w:fill="FFFFFF"/>
          <w:lang w:val="es-ES" w:eastAsia="es-ES"/>
        </w:rPr>
        <w:t>o</w:t>
      </w:r>
      <w:r w:rsidRPr="000D6D3D">
        <w:rPr>
          <w:rFonts w:ascii="Times New Roman" w:eastAsia="Times New Roman" w:hAnsi="Times New Roman" w:cs="Times New Roman"/>
          <w:sz w:val="24"/>
          <w:szCs w:val="24"/>
          <w:shd w:val="clear" w:color="auto" w:fill="FFFFFF"/>
          <w:lang w:val="es-ES" w:eastAsia="es-ES"/>
        </w:rPr>
        <w:t xml:space="preserve"> ausente. L</w:t>
      </w:r>
      <w:r w:rsidRPr="000D6D3D">
        <w:rPr>
          <w:rFonts w:ascii="Times New Roman" w:eastAsia="Times New Roman" w:hAnsi="Times New Roman" w:cs="Times New Roman"/>
          <w:sz w:val="24"/>
          <w:szCs w:val="24"/>
          <w:lang w:eastAsia="es-ES"/>
        </w:rPr>
        <w:t xml:space="preserve">a causalidad y preventibilidad de las RAM fueron determinadas con el </w:t>
      </w:r>
      <w:r w:rsidRPr="000D6D3D">
        <w:rPr>
          <w:rFonts w:ascii="Times New Roman" w:eastAsia="Times New Roman" w:hAnsi="Times New Roman" w:cs="Times New Roman"/>
          <w:sz w:val="24"/>
          <w:szCs w:val="24"/>
          <w:shd w:val="clear" w:color="auto" w:fill="FFFFFF"/>
          <w:lang w:val="es-ES" w:eastAsia="es-ES"/>
        </w:rPr>
        <w:t xml:space="preserve">Algoritmo de Naranjo y los criterios de </w:t>
      </w:r>
      <w:proofErr w:type="spellStart"/>
      <w:r w:rsidRPr="000D6D3D">
        <w:rPr>
          <w:rFonts w:ascii="Times New Roman" w:eastAsia="Times New Roman" w:hAnsi="Times New Roman" w:cs="Times New Roman"/>
          <w:sz w:val="24"/>
          <w:szCs w:val="24"/>
          <w:shd w:val="clear" w:color="auto" w:fill="FFFFFF"/>
          <w:lang w:val="es-ES" w:eastAsia="es-ES"/>
        </w:rPr>
        <w:t>Schumock</w:t>
      </w:r>
      <w:proofErr w:type="spellEnd"/>
      <w:r w:rsidRPr="000D6D3D">
        <w:rPr>
          <w:rFonts w:ascii="Times New Roman" w:eastAsia="Times New Roman" w:hAnsi="Times New Roman" w:cs="Times New Roman"/>
          <w:sz w:val="24"/>
          <w:szCs w:val="24"/>
          <w:shd w:val="clear" w:color="auto" w:fill="FFFFFF"/>
          <w:lang w:val="es-ES" w:eastAsia="es-ES"/>
        </w:rPr>
        <w:t xml:space="preserve"> &amp; </w:t>
      </w:r>
      <w:proofErr w:type="spellStart"/>
      <w:r w:rsidRPr="000D6D3D">
        <w:rPr>
          <w:rFonts w:ascii="Times New Roman" w:eastAsia="Times New Roman" w:hAnsi="Times New Roman" w:cs="Times New Roman"/>
          <w:sz w:val="24"/>
          <w:szCs w:val="24"/>
          <w:shd w:val="clear" w:color="auto" w:fill="FFFFFF"/>
          <w:lang w:val="es-ES" w:eastAsia="es-ES"/>
        </w:rPr>
        <w:t>Thornton</w:t>
      </w:r>
      <w:proofErr w:type="spellEnd"/>
      <w:r w:rsidRPr="000D6D3D">
        <w:rPr>
          <w:rFonts w:ascii="Times New Roman" w:eastAsia="Times New Roman" w:hAnsi="Times New Roman" w:cs="Times New Roman"/>
          <w:sz w:val="24"/>
          <w:szCs w:val="24"/>
          <w:shd w:val="clear" w:color="auto" w:fill="FFFFFF"/>
          <w:lang w:val="es-ES" w:eastAsia="es-ES"/>
        </w:rPr>
        <w:t xml:space="preserve"> modificados, </w:t>
      </w:r>
      <w:r w:rsidRPr="000D6D3D">
        <w:rPr>
          <w:rFonts w:ascii="Times New Roman" w:eastAsia="Times New Roman" w:hAnsi="Times New Roman" w:cs="Times New Roman"/>
          <w:sz w:val="24"/>
          <w:szCs w:val="24"/>
          <w:lang w:val="es-ES" w:eastAsia="es-ES"/>
        </w:rPr>
        <w:t>respectivamente.</w:t>
      </w:r>
    </w:p>
    <w:p w:rsidR="00CF774E" w:rsidRPr="000D6D3D" w:rsidRDefault="00FE7C1D" w:rsidP="00CF774E">
      <w:pPr>
        <w:spacing w:after="0" w:line="360" w:lineRule="auto"/>
        <w:jc w:val="both"/>
        <w:rPr>
          <w:rFonts w:ascii="Times New Roman" w:hAnsi="Times New Roman" w:cs="Times New Roman"/>
          <w:color w:val="000000" w:themeColor="text1"/>
          <w:sz w:val="24"/>
          <w:szCs w:val="24"/>
          <w:lang w:val="es-ES"/>
        </w:rPr>
      </w:pPr>
      <w:r w:rsidRPr="000D6D3D">
        <w:rPr>
          <w:rFonts w:ascii="Times New Roman" w:hAnsi="Times New Roman" w:cs="Times New Roman"/>
          <w:b/>
          <w:sz w:val="24"/>
          <w:szCs w:val="24"/>
          <w:lang w:val="es-ES"/>
        </w:rPr>
        <w:t>Resultados</w:t>
      </w:r>
      <w:r w:rsidRPr="000D6D3D">
        <w:rPr>
          <w:rFonts w:ascii="Times New Roman" w:hAnsi="Times New Roman" w:cs="Times New Roman"/>
          <w:sz w:val="24"/>
          <w:szCs w:val="24"/>
          <w:lang w:val="es-ES"/>
        </w:rPr>
        <w:t xml:space="preserve">: </w:t>
      </w:r>
      <w:r w:rsidR="00CF774E" w:rsidRPr="000D6D3D">
        <w:rPr>
          <w:rFonts w:ascii="Times New Roman" w:hAnsi="Times New Roman" w:cs="Times New Roman"/>
          <w:sz w:val="24"/>
          <w:szCs w:val="24"/>
          <w:lang w:val="es-ES"/>
        </w:rPr>
        <w:t>la IA de RAM por TCZ fue de 69,6% (IC95%: 63,5-76,6), siendo la transaminitis y el desarrollo de infección los eventos más frecuentes.</w:t>
      </w:r>
      <w:r w:rsidR="001E67FC" w:rsidRPr="000D6D3D">
        <w:rPr>
          <w:rFonts w:ascii="Times New Roman" w:hAnsi="Times New Roman" w:cs="Times New Roman"/>
          <w:sz w:val="24"/>
          <w:szCs w:val="24"/>
          <w:lang w:val="es-ES"/>
        </w:rPr>
        <w:t xml:space="preserve"> </w:t>
      </w:r>
      <w:r w:rsidR="003E3FD8" w:rsidRPr="000D6D3D">
        <w:rPr>
          <w:rFonts w:ascii="Times New Roman" w:hAnsi="Times New Roman" w:cs="Times New Roman"/>
          <w:sz w:val="24"/>
          <w:szCs w:val="24"/>
          <w:lang w:val="es-ES"/>
        </w:rPr>
        <w:t>E</w:t>
      </w:r>
      <w:r w:rsidR="001E67FC" w:rsidRPr="000D6D3D">
        <w:rPr>
          <w:rFonts w:ascii="Times New Roman" w:hAnsi="Times New Roman" w:cs="Times New Roman"/>
          <w:sz w:val="24"/>
          <w:szCs w:val="24"/>
          <w:lang w:val="es-ES"/>
        </w:rPr>
        <w:t xml:space="preserve">l 74% </w:t>
      </w:r>
      <w:r w:rsidR="00C76900" w:rsidRPr="000D6D3D">
        <w:rPr>
          <w:rFonts w:ascii="Times New Roman" w:hAnsi="Times New Roman" w:cs="Times New Roman"/>
          <w:sz w:val="24"/>
          <w:szCs w:val="24"/>
          <w:lang w:val="es-ES"/>
        </w:rPr>
        <w:t>fueron consideradas</w:t>
      </w:r>
      <w:r w:rsidR="001E67FC" w:rsidRPr="000D6D3D">
        <w:rPr>
          <w:rFonts w:ascii="Times New Roman" w:hAnsi="Times New Roman" w:cs="Times New Roman"/>
          <w:sz w:val="24"/>
          <w:szCs w:val="24"/>
          <w:lang w:val="es-ES"/>
        </w:rPr>
        <w:t xml:space="preserve"> </w:t>
      </w:r>
      <w:r w:rsidR="00C76900" w:rsidRPr="000D6D3D">
        <w:rPr>
          <w:rFonts w:ascii="Times New Roman" w:hAnsi="Times New Roman" w:cs="Times New Roman"/>
          <w:sz w:val="24"/>
          <w:szCs w:val="24"/>
          <w:lang w:val="es-ES"/>
        </w:rPr>
        <w:t>de severidad</w:t>
      </w:r>
      <w:r w:rsidR="001E67FC" w:rsidRPr="000D6D3D">
        <w:rPr>
          <w:rFonts w:ascii="Times New Roman" w:hAnsi="Times New Roman" w:cs="Times New Roman"/>
          <w:sz w:val="24"/>
          <w:szCs w:val="24"/>
          <w:lang w:val="es-ES"/>
        </w:rPr>
        <w:t xml:space="preserve"> leve. </w:t>
      </w:r>
      <w:r w:rsidR="00362A83" w:rsidRPr="000D6D3D">
        <w:rPr>
          <w:rFonts w:ascii="Times New Roman" w:hAnsi="Times New Roman" w:cs="Times New Roman"/>
          <w:sz w:val="24"/>
          <w:szCs w:val="24"/>
          <w:lang w:val="es-ES"/>
        </w:rPr>
        <w:t>Respecto</w:t>
      </w:r>
      <w:r w:rsidR="00CF774E" w:rsidRPr="000D6D3D">
        <w:rPr>
          <w:rFonts w:ascii="Times New Roman" w:hAnsi="Times New Roman" w:cs="Times New Roman"/>
          <w:sz w:val="24"/>
          <w:szCs w:val="24"/>
          <w:lang w:val="es-ES"/>
        </w:rPr>
        <w:t xml:space="preserve"> a la causalidad, </w:t>
      </w:r>
      <w:r w:rsidR="001E67FC" w:rsidRPr="000D6D3D">
        <w:rPr>
          <w:rFonts w:ascii="Times New Roman" w:hAnsi="Times New Roman" w:cs="Times New Roman"/>
          <w:sz w:val="24"/>
          <w:szCs w:val="24"/>
          <w:lang w:val="es-ES"/>
        </w:rPr>
        <w:t>el 62%</w:t>
      </w:r>
      <w:r w:rsidR="00CF774E" w:rsidRPr="000D6D3D">
        <w:rPr>
          <w:rFonts w:ascii="Times New Roman" w:hAnsi="Times New Roman" w:cs="Times New Roman"/>
          <w:sz w:val="24"/>
          <w:szCs w:val="24"/>
          <w:lang w:val="es-ES"/>
        </w:rPr>
        <w:t xml:space="preserve"> de las sospechas de RAM no infecciosas se clasificaron como </w:t>
      </w:r>
      <w:r w:rsidR="00CF774E" w:rsidRPr="000D6D3D">
        <w:rPr>
          <w:rFonts w:ascii="Times New Roman" w:eastAsia="Times New Roman" w:hAnsi="Times New Roman" w:cs="Times New Roman"/>
          <w:i/>
          <w:sz w:val="24"/>
          <w:szCs w:val="24"/>
          <w:lang w:val="es-ES"/>
        </w:rPr>
        <w:t>Probables</w:t>
      </w:r>
      <w:r w:rsidR="00CF774E" w:rsidRPr="000D6D3D">
        <w:rPr>
          <w:rFonts w:ascii="Times New Roman" w:eastAsia="Times New Roman" w:hAnsi="Times New Roman" w:cs="Times New Roman"/>
          <w:sz w:val="24"/>
          <w:szCs w:val="24"/>
          <w:lang w:val="es-ES"/>
        </w:rPr>
        <w:t xml:space="preserve"> y la totalidad de los eventos infecciosos, como </w:t>
      </w:r>
      <w:r w:rsidR="00CF774E" w:rsidRPr="000D6D3D">
        <w:rPr>
          <w:rFonts w:ascii="Times New Roman" w:eastAsia="Times New Roman" w:hAnsi="Times New Roman" w:cs="Times New Roman"/>
          <w:i/>
          <w:sz w:val="24"/>
          <w:szCs w:val="24"/>
          <w:lang w:val="es-ES"/>
        </w:rPr>
        <w:t xml:space="preserve">Posibles. </w:t>
      </w:r>
      <w:r w:rsidR="00562634" w:rsidRPr="000D6D3D">
        <w:rPr>
          <w:rFonts w:ascii="Times New Roman" w:eastAsia="Times New Roman" w:hAnsi="Times New Roman" w:cs="Times New Roman"/>
          <w:sz w:val="24"/>
          <w:szCs w:val="24"/>
          <w:lang w:val="es-ES"/>
        </w:rPr>
        <w:t>E</w:t>
      </w:r>
      <w:r w:rsidR="001E67FC" w:rsidRPr="000D6D3D">
        <w:rPr>
          <w:rFonts w:ascii="Times New Roman" w:eastAsia="Times New Roman" w:hAnsi="Times New Roman" w:cs="Times New Roman"/>
          <w:sz w:val="24"/>
          <w:szCs w:val="24"/>
          <w:lang w:val="es-ES"/>
        </w:rPr>
        <w:t>l</w:t>
      </w:r>
      <w:r w:rsidR="00562634" w:rsidRPr="000D6D3D">
        <w:rPr>
          <w:rFonts w:ascii="Times New Roman" w:eastAsia="Times New Roman" w:hAnsi="Times New Roman" w:cs="Times New Roman"/>
          <w:sz w:val="24"/>
          <w:szCs w:val="24"/>
          <w:lang w:val="es-ES"/>
        </w:rPr>
        <w:t xml:space="preserve"> 33</w:t>
      </w:r>
      <w:r w:rsidR="001E67FC" w:rsidRPr="000D6D3D">
        <w:rPr>
          <w:rFonts w:ascii="Times New Roman" w:eastAsia="Times New Roman" w:hAnsi="Times New Roman" w:cs="Times New Roman"/>
          <w:sz w:val="24"/>
          <w:szCs w:val="24"/>
          <w:lang w:val="es-ES"/>
        </w:rPr>
        <w:t xml:space="preserve">% de las RAM </w:t>
      </w:r>
      <w:r w:rsidR="00562634" w:rsidRPr="000D6D3D">
        <w:rPr>
          <w:rFonts w:ascii="Times New Roman" w:eastAsia="Times New Roman" w:hAnsi="Times New Roman" w:cs="Times New Roman"/>
          <w:sz w:val="24"/>
          <w:szCs w:val="24"/>
          <w:lang w:val="es-ES"/>
        </w:rPr>
        <w:t xml:space="preserve">observadas </w:t>
      </w:r>
      <w:r w:rsidR="00C76900" w:rsidRPr="000D6D3D">
        <w:rPr>
          <w:rFonts w:ascii="Times New Roman" w:eastAsia="Times New Roman" w:hAnsi="Times New Roman" w:cs="Times New Roman"/>
          <w:sz w:val="24"/>
          <w:szCs w:val="24"/>
          <w:lang w:val="es-ES"/>
        </w:rPr>
        <w:t>pudieron</w:t>
      </w:r>
      <w:r w:rsidR="00562634" w:rsidRPr="000D6D3D">
        <w:rPr>
          <w:rFonts w:ascii="Times New Roman" w:eastAsia="Times New Roman" w:hAnsi="Times New Roman" w:cs="Times New Roman"/>
          <w:sz w:val="24"/>
          <w:szCs w:val="24"/>
          <w:lang w:val="es-ES"/>
        </w:rPr>
        <w:t xml:space="preserve"> ser prevenibles</w:t>
      </w:r>
      <w:r w:rsidR="001E67FC" w:rsidRPr="000D6D3D">
        <w:rPr>
          <w:rFonts w:ascii="Times New Roman" w:hAnsi="Times New Roman" w:cs="Times New Roman"/>
          <w:color w:val="000000" w:themeColor="text1"/>
          <w:sz w:val="24"/>
          <w:szCs w:val="24"/>
          <w:lang w:val="es-ES"/>
        </w:rPr>
        <w:t>.</w:t>
      </w:r>
      <w:r w:rsidR="00CF774E" w:rsidRPr="000D6D3D">
        <w:rPr>
          <w:rFonts w:ascii="Times New Roman" w:hAnsi="Times New Roman" w:cs="Times New Roman"/>
          <w:color w:val="000000" w:themeColor="text1"/>
          <w:sz w:val="24"/>
          <w:szCs w:val="24"/>
          <w:lang w:val="es-ES"/>
        </w:rPr>
        <w:t xml:space="preserve"> </w:t>
      </w:r>
    </w:p>
    <w:p w:rsidR="00FE7C1D" w:rsidRPr="000D6D3D" w:rsidRDefault="00FE7C1D" w:rsidP="00FE7C1D">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b/>
          <w:sz w:val="24"/>
          <w:szCs w:val="24"/>
          <w:lang w:val="es-ES"/>
        </w:rPr>
        <w:t>Conclusiones</w:t>
      </w:r>
      <w:r w:rsidRPr="000D6D3D">
        <w:rPr>
          <w:rFonts w:ascii="Times New Roman" w:hAnsi="Times New Roman" w:cs="Times New Roman"/>
          <w:sz w:val="24"/>
          <w:szCs w:val="24"/>
          <w:lang w:val="es-ES"/>
        </w:rPr>
        <w:t>: la ocurrencia de RAM posterior al uso de TCZ es frecuente</w:t>
      </w:r>
      <w:r w:rsidR="00004274" w:rsidRPr="000D6D3D">
        <w:rPr>
          <w:rFonts w:ascii="Times New Roman" w:hAnsi="Times New Roman" w:cs="Times New Roman"/>
          <w:sz w:val="24"/>
          <w:szCs w:val="24"/>
          <w:lang w:val="es-ES"/>
        </w:rPr>
        <w:t>, de severidad leve</w:t>
      </w:r>
      <w:r w:rsidRPr="000D6D3D">
        <w:rPr>
          <w:rFonts w:ascii="Times New Roman" w:hAnsi="Times New Roman" w:cs="Times New Roman"/>
          <w:sz w:val="24"/>
          <w:szCs w:val="24"/>
          <w:lang w:val="es-ES"/>
        </w:rPr>
        <w:t xml:space="preserve">, </w:t>
      </w:r>
      <w:r w:rsidR="00004274" w:rsidRPr="000D6D3D">
        <w:rPr>
          <w:rFonts w:ascii="Times New Roman" w:hAnsi="Times New Roman" w:cs="Times New Roman"/>
          <w:sz w:val="24"/>
          <w:szCs w:val="24"/>
          <w:lang w:val="es-ES"/>
        </w:rPr>
        <w:t xml:space="preserve">y en </w:t>
      </w:r>
      <w:r w:rsidR="003E3FD8" w:rsidRPr="000D6D3D">
        <w:rPr>
          <w:rFonts w:ascii="Times New Roman" w:hAnsi="Times New Roman" w:cs="Times New Roman"/>
          <w:sz w:val="24"/>
          <w:szCs w:val="24"/>
          <w:lang w:val="es-ES"/>
        </w:rPr>
        <w:t xml:space="preserve">un tercio de los casos, </w:t>
      </w:r>
      <w:r w:rsidR="00562634" w:rsidRPr="000D6D3D">
        <w:rPr>
          <w:rFonts w:ascii="Times New Roman" w:hAnsi="Times New Roman" w:cs="Times New Roman"/>
          <w:sz w:val="24"/>
          <w:szCs w:val="24"/>
          <w:lang w:val="es-ES"/>
        </w:rPr>
        <w:t>prevenible</w:t>
      </w:r>
      <w:r w:rsidRPr="000D6D3D">
        <w:rPr>
          <w:rFonts w:ascii="Times New Roman" w:hAnsi="Times New Roman" w:cs="Times New Roman"/>
          <w:sz w:val="24"/>
          <w:szCs w:val="24"/>
          <w:lang w:val="es-ES"/>
        </w:rPr>
        <w:t>.</w:t>
      </w:r>
      <w:r w:rsidR="00562634" w:rsidRPr="000D6D3D">
        <w:rPr>
          <w:rFonts w:ascii="Times New Roman" w:hAnsi="Times New Roman" w:cs="Times New Roman"/>
          <w:sz w:val="24"/>
          <w:szCs w:val="24"/>
          <w:lang w:val="es-ES"/>
        </w:rPr>
        <w:t xml:space="preserve"> Se sugiere monitorizar hemograma, pruebas hepáticas y descartar</w:t>
      </w:r>
      <w:r w:rsidR="00E0799A" w:rsidRPr="000D6D3D">
        <w:rPr>
          <w:rFonts w:ascii="Times New Roman" w:hAnsi="Times New Roman" w:cs="Times New Roman"/>
          <w:sz w:val="24"/>
          <w:szCs w:val="24"/>
          <w:lang w:val="es-ES"/>
        </w:rPr>
        <w:t xml:space="preserve"> una</w:t>
      </w:r>
      <w:r w:rsidR="00562634" w:rsidRPr="000D6D3D">
        <w:rPr>
          <w:rFonts w:ascii="Times New Roman" w:hAnsi="Times New Roman" w:cs="Times New Roman"/>
          <w:sz w:val="24"/>
          <w:szCs w:val="24"/>
          <w:lang w:val="es-ES"/>
        </w:rPr>
        <w:t xml:space="preserve"> infección </w:t>
      </w:r>
      <w:proofErr w:type="gramStart"/>
      <w:r w:rsidR="00562634" w:rsidRPr="000D6D3D">
        <w:rPr>
          <w:rFonts w:ascii="Times New Roman" w:hAnsi="Times New Roman" w:cs="Times New Roman"/>
          <w:sz w:val="24"/>
          <w:szCs w:val="24"/>
          <w:lang w:val="es-ES"/>
        </w:rPr>
        <w:t>previo</w:t>
      </w:r>
      <w:proofErr w:type="gramEnd"/>
      <w:r w:rsidR="00562634" w:rsidRPr="000D6D3D">
        <w:rPr>
          <w:rFonts w:ascii="Times New Roman" w:hAnsi="Times New Roman" w:cs="Times New Roman"/>
          <w:sz w:val="24"/>
          <w:szCs w:val="24"/>
          <w:lang w:val="es-ES"/>
        </w:rPr>
        <w:t xml:space="preserve"> a su </w:t>
      </w:r>
      <w:r w:rsidR="00BA1DD7" w:rsidRPr="000D6D3D">
        <w:rPr>
          <w:rFonts w:ascii="Times New Roman" w:hAnsi="Times New Roman" w:cs="Times New Roman"/>
          <w:sz w:val="24"/>
          <w:szCs w:val="24"/>
          <w:lang w:val="es-ES"/>
        </w:rPr>
        <w:t>administración</w:t>
      </w:r>
      <w:r w:rsidR="00562634" w:rsidRPr="000D6D3D">
        <w:rPr>
          <w:rFonts w:ascii="Times New Roman" w:hAnsi="Times New Roman" w:cs="Times New Roman"/>
          <w:sz w:val="24"/>
          <w:szCs w:val="24"/>
          <w:lang w:val="es-ES"/>
        </w:rPr>
        <w:t>.</w:t>
      </w:r>
    </w:p>
    <w:p w:rsidR="00FE7C1D" w:rsidRPr="000D6D3D" w:rsidRDefault="00FE7C1D" w:rsidP="00FE7C1D">
      <w:pPr>
        <w:spacing w:after="0" w:line="360" w:lineRule="auto"/>
        <w:rPr>
          <w:rFonts w:ascii="Times New Roman" w:hAnsi="Times New Roman" w:cs="Times New Roman"/>
          <w:sz w:val="24"/>
          <w:szCs w:val="24"/>
          <w:lang w:val="es-ES"/>
        </w:rPr>
      </w:pPr>
    </w:p>
    <w:p w:rsidR="00F16017" w:rsidRPr="000D6D3D" w:rsidRDefault="00F16017" w:rsidP="00FE7C1D">
      <w:pPr>
        <w:spacing w:after="0" w:line="360" w:lineRule="auto"/>
        <w:rPr>
          <w:rFonts w:ascii="Times New Roman" w:hAnsi="Times New Roman" w:cs="Times New Roman"/>
          <w:b/>
          <w:sz w:val="24"/>
          <w:szCs w:val="24"/>
          <w:lang w:val="es-ES"/>
        </w:rPr>
      </w:pPr>
    </w:p>
    <w:p w:rsidR="00F16017" w:rsidRPr="000D6D3D" w:rsidRDefault="00F16017" w:rsidP="00FE7C1D">
      <w:pPr>
        <w:spacing w:after="0" w:line="360" w:lineRule="auto"/>
        <w:rPr>
          <w:rFonts w:ascii="Times New Roman" w:hAnsi="Times New Roman" w:cs="Times New Roman"/>
          <w:b/>
          <w:sz w:val="24"/>
          <w:szCs w:val="24"/>
          <w:lang w:val="es-ES"/>
        </w:rPr>
      </w:pPr>
    </w:p>
    <w:p w:rsidR="00F16017" w:rsidRPr="000D6D3D" w:rsidRDefault="00F16017" w:rsidP="00FE7C1D">
      <w:pPr>
        <w:spacing w:after="0" w:line="360" w:lineRule="auto"/>
        <w:rPr>
          <w:rFonts w:ascii="Times New Roman" w:hAnsi="Times New Roman" w:cs="Times New Roman"/>
          <w:b/>
          <w:sz w:val="24"/>
          <w:szCs w:val="24"/>
          <w:lang w:val="es-ES"/>
        </w:rPr>
      </w:pPr>
    </w:p>
    <w:p w:rsidR="00F16017" w:rsidRPr="000D6D3D" w:rsidRDefault="00F16017" w:rsidP="00FE7C1D">
      <w:pPr>
        <w:spacing w:after="0" w:line="360" w:lineRule="auto"/>
        <w:rPr>
          <w:rFonts w:ascii="Times New Roman" w:hAnsi="Times New Roman" w:cs="Times New Roman"/>
          <w:b/>
          <w:sz w:val="24"/>
          <w:szCs w:val="24"/>
          <w:lang w:val="es-ES"/>
        </w:rPr>
      </w:pPr>
    </w:p>
    <w:p w:rsidR="000C0C5B" w:rsidRPr="000D6D3D" w:rsidRDefault="000C0C5B" w:rsidP="00FE7C1D">
      <w:pPr>
        <w:spacing w:after="0" w:line="360" w:lineRule="auto"/>
        <w:rPr>
          <w:rFonts w:ascii="Times New Roman" w:hAnsi="Times New Roman" w:cs="Times New Roman"/>
          <w:color w:val="000000"/>
          <w:sz w:val="24"/>
          <w:szCs w:val="24"/>
          <w:shd w:val="clear" w:color="auto" w:fill="FFFFFF"/>
        </w:rPr>
      </w:pPr>
    </w:p>
    <w:p w:rsidR="00DD46D3" w:rsidRPr="000D6D3D" w:rsidRDefault="00DD46D3" w:rsidP="00FE7C1D">
      <w:pPr>
        <w:spacing w:after="0" w:line="360" w:lineRule="auto"/>
        <w:rPr>
          <w:rFonts w:ascii="Times New Roman" w:hAnsi="Times New Roman" w:cs="Times New Roman"/>
          <w:color w:val="000000"/>
          <w:sz w:val="24"/>
          <w:szCs w:val="24"/>
          <w:shd w:val="clear" w:color="auto" w:fill="FFFFFF"/>
        </w:rPr>
      </w:pPr>
    </w:p>
    <w:p w:rsidR="00DD46D3" w:rsidRPr="000D6D3D" w:rsidRDefault="00DD46D3" w:rsidP="00FE7C1D">
      <w:pPr>
        <w:spacing w:after="0" w:line="360" w:lineRule="auto"/>
        <w:rPr>
          <w:rFonts w:ascii="Times New Roman" w:hAnsi="Times New Roman" w:cs="Times New Roman"/>
          <w:color w:val="000000"/>
          <w:sz w:val="24"/>
          <w:szCs w:val="24"/>
          <w:shd w:val="clear" w:color="auto" w:fill="FFFFFF"/>
        </w:rPr>
      </w:pPr>
    </w:p>
    <w:p w:rsidR="000C0C5B" w:rsidRPr="000D6D3D" w:rsidRDefault="000C0C5B" w:rsidP="00FE7C1D">
      <w:pPr>
        <w:spacing w:after="0" w:line="360" w:lineRule="auto"/>
        <w:rPr>
          <w:rFonts w:ascii="Times New Roman" w:hAnsi="Times New Roman" w:cs="Times New Roman"/>
          <w:color w:val="000000"/>
          <w:sz w:val="24"/>
          <w:szCs w:val="24"/>
          <w:shd w:val="clear" w:color="auto" w:fill="FFFFFF"/>
        </w:rPr>
      </w:pPr>
    </w:p>
    <w:p w:rsidR="000C0C5B" w:rsidRPr="000D6D3D" w:rsidRDefault="000C0C5B" w:rsidP="00FE7C1D">
      <w:pPr>
        <w:spacing w:after="0" w:line="360" w:lineRule="auto"/>
        <w:rPr>
          <w:rFonts w:ascii="Times New Roman" w:hAnsi="Times New Roman" w:cs="Times New Roman"/>
          <w:color w:val="000000"/>
          <w:sz w:val="24"/>
          <w:szCs w:val="24"/>
          <w:shd w:val="clear" w:color="auto" w:fill="FFFFFF"/>
        </w:rPr>
      </w:pPr>
    </w:p>
    <w:p w:rsidR="000C0C5B" w:rsidRPr="000D6D3D" w:rsidRDefault="000C0C5B" w:rsidP="000C0C5B">
      <w:pPr>
        <w:spacing w:line="360" w:lineRule="auto"/>
        <w:jc w:val="both"/>
        <w:rPr>
          <w:rFonts w:ascii="Times New Roman" w:hAnsi="Times New Roman" w:cs="Times New Roman"/>
          <w:b/>
          <w:bCs/>
          <w:sz w:val="24"/>
          <w:lang w:val="en-US"/>
        </w:rPr>
      </w:pPr>
      <w:r w:rsidRPr="000D6D3D">
        <w:rPr>
          <w:rFonts w:ascii="Times New Roman" w:hAnsi="Times New Roman" w:cs="Times New Roman"/>
          <w:b/>
          <w:bCs/>
          <w:sz w:val="24"/>
          <w:lang w:val="en-US"/>
        </w:rPr>
        <w:lastRenderedPageBreak/>
        <w:t>Abstract</w:t>
      </w:r>
    </w:p>
    <w:p w:rsidR="000C0C5B" w:rsidRPr="000D6D3D" w:rsidRDefault="000C0C5B" w:rsidP="000C0C5B">
      <w:pPr>
        <w:spacing w:line="360" w:lineRule="auto"/>
        <w:jc w:val="both"/>
        <w:rPr>
          <w:rFonts w:ascii="Times New Roman" w:hAnsi="Times New Roman" w:cs="Times New Roman"/>
          <w:b/>
          <w:bCs/>
          <w:lang w:val="en-US"/>
        </w:rPr>
      </w:pPr>
    </w:p>
    <w:p w:rsidR="000C0C5B" w:rsidRPr="000D6D3D" w:rsidRDefault="000C0C5B" w:rsidP="000C0C5B">
      <w:pPr>
        <w:spacing w:line="360" w:lineRule="auto"/>
        <w:jc w:val="both"/>
        <w:rPr>
          <w:rFonts w:ascii="Times New Roman" w:hAnsi="Times New Roman" w:cs="Times New Roman"/>
          <w:sz w:val="24"/>
          <w:szCs w:val="24"/>
          <w:lang w:val="en-US"/>
        </w:rPr>
      </w:pPr>
      <w:r w:rsidRPr="000D6D3D">
        <w:rPr>
          <w:rFonts w:ascii="Times New Roman" w:hAnsi="Times New Roman" w:cs="Times New Roman"/>
          <w:b/>
          <w:bCs/>
          <w:sz w:val="24"/>
          <w:szCs w:val="24"/>
          <w:lang w:val="en-US"/>
        </w:rPr>
        <w:t>Background:</w:t>
      </w:r>
      <w:r w:rsidRPr="000D6D3D">
        <w:rPr>
          <w:rFonts w:ascii="Times New Roman" w:hAnsi="Times New Roman" w:cs="Times New Roman"/>
          <w:sz w:val="24"/>
          <w:szCs w:val="24"/>
          <w:lang w:val="en-US"/>
        </w:rPr>
        <w:t xml:space="preserve"> Tocilizumab (TCZ) is a new therapeutic alternative for severe cases of COVID-19 pneumonia. However, few studies have reported the occurrence of adverse reactions (ADRs) in this new setting. </w:t>
      </w:r>
      <w:r w:rsidRPr="000D6D3D">
        <w:rPr>
          <w:rFonts w:ascii="Times New Roman" w:hAnsi="Times New Roman" w:cs="Times New Roman"/>
          <w:b/>
          <w:bCs/>
          <w:sz w:val="24"/>
          <w:szCs w:val="24"/>
          <w:lang w:val="en-US"/>
        </w:rPr>
        <w:t>Aim</w:t>
      </w:r>
      <w:r w:rsidRPr="000D6D3D">
        <w:rPr>
          <w:rFonts w:ascii="Times New Roman" w:hAnsi="Times New Roman" w:cs="Times New Roman"/>
          <w:sz w:val="24"/>
          <w:szCs w:val="24"/>
          <w:lang w:val="en-US"/>
        </w:rPr>
        <w:t>: to evaluate the cumulative incidence (CI) of suspected ADRs from TCZ in adult patients diagnosed with COVID-19 and to determine the causality and preventability of these ADRs.</w:t>
      </w:r>
    </w:p>
    <w:p w:rsidR="000C0C5B" w:rsidRPr="000D6D3D" w:rsidRDefault="000C0C5B" w:rsidP="000C0C5B">
      <w:pPr>
        <w:spacing w:line="360" w:lineRule="auto"/>
        <w:jc w:val="both"/>
        <w:rPr>
          <w:rFonts w:ascii="Times New Roman" w:hAnsi="Times New Roman" w:cs="Times New Roman"/>
          <w:sz w:val="24"/>
          <w:szCs w:val="24"/>
          <w:lang w:val="en-US"/>
        </w:rPr>
      </w:pPr>
      <w:r w:rsidRPr="000D6D3D">
        <w:rPr>
          <w:rFonts w:ascii="Times New Roman" w:hAnsi="Times New Roman" w:cs="Times New Roman"/>
          <w:b/>
          <w:bCs/>
          <w:sz w:val="24"/>
          <w:szCs w:val="24"/>
          <w:lang w:val="en-US"/>
        </w:rPr>
        <w:t>Material and methods</w:t>
      </w:r>
      <w:r w:rsidRPr="000D6D3D">
        <w:rPr>
          <w:rFonts w:ascii="Times New Roman" w:hAnsi="Times New Roman" w:cs="Times New Roman"/>
          <w:sz w:val="24"/>
          <w:szCs w:val="24"/>
          <w:lang w:val="en-US"/>
        </w:rPr>
        <w:t>: A non-concurrent, descriptive cohort study was conducted. It included patients older than 18 years old, who received at least one dose of TCZ between May and August 2020 at the UC-</w:t>
      </w:r>
      <w:proofErr w:type="spellStart"/>
      <w:r w:rsidRPr="000D6D3D">
        <w:rPr>
          <w:rFonts w:ascii="Times New Roman" w:hAnsi="Times New Roman" w:cs="Times New Roman"/>
          <w:sz w:val="24"/>
          <w:szCs w:val="24"/>
          <w:lang w:val="en-US"/>
        </w:rPr>
        <w:t>Christus</w:t>
      </w:r>
      <w:proofErr w:type="spellEnd"/>
      <w:r w:rsidRPr="000D6D3D">
        <w:rPr>
          <w:rFonts w:ascii="Times New Roman" w:hAnsi="Times New Roman" w:cs="Times New Roman"/>
          <w:sz w:val="24"/>
          <w:szCs w:val="24"/>
          <w:lang w:val="en-US"/>
        </w:rPr>
        <w:t xml:space="preserve"> Clinical Hospital. Non-infectious ADRs were categorized according to CTCAE criteria and the development of infection was classified as present or absent. Causality and preventability of ADRs were determined with the Naranjo Algorithm and the modified </w:t>
      </w:r>
      <w:proofErr w:type="spellStart"/>
      <w:r w:rsidRPr="000D6D3D">
        <w:rPr>
          <w:rFonts w:ascii="Times New Roman" w:hAnsi="Times New Roman" w:cs="Times New Roman"/>
          <w:sz w:val="24"/>
          <w:szCs w:val="24"/>
          <w:lang w:val="en-US"/>
        </w:rPr>
        <w:t>Schumock</w:t>
      </w:r>
      <w:proofErr w:type="spellEnd"/>
      <w:r w:rsidRPr="000D6D3D">
        <w:rPr>
          <w:rFonts w:ascii="Times New Roman" w:hAnsi="Times New Roman" w:cs="Times New Roman"/>
          <w:sz w:val="24"/>
          <w:szCs w:val="24"/>
          <w:lang w:val="en-US"/>
        </w:rPr>
        <w:t xml:space="preserve"> &amp; Thornton criteria, respectively.</w:t>
      </w:r>
    </w:p>
    <w:p w:rsidR="000C0C5B" w:rsidRPr="000D6D3D" w:rsidRDefault="000C0C5B" w:rsidP="000C0C5B">
      <w:pPr>
        <w:spacing w:line="360" w:lineRule="auto"/>
        <w:jc w:val="both"/>
        <w:rPr>
          <w:rFonts w:ascii="Times New Roman" w:hAnsi="Times New Roman" w:cs="Times New Roman"/>
          <w:sz w:val="24"/>
          <w:szCs w:val="24"/>
          <w:lang w:val="en-US"/>
        </w:rPr>
      </w:pPr>
      <w:r w:rsidRPr="000D6D3D">
        <w:rPr>
          <w:rFonts w:ascii="Times New Roman" w:hAnsi="Times New Roman" w:cs="Times New Roman"/>
          <w:b/>
          <w:bCs/>
          <w:sz w:val="24"/>
          <w:szCs w:val="24"/>
          <w:lang w:val="en-US"/>
        </w:rPr>
        <w:t>Results</w:t>
      </w:r>
      <w:r w:rsidRPr="000D6D3D">
        <w:rPr>
          <w:rFonts w:ascii="Times New Roman" w:hAnsi="Times New Roman" w:cs="Times New Roman"/>
          <w:sz w:val="24"/>
          <w:szCs w:val="24"/>
          <w:lang w:val="en-US"/>
        </w:rPr>
        <w:t xml:space="preserve">: The CI of ADRs caused by TCZ was 69.6% (95%CI: 63.5-76.6). Transaminitis and development of infection were the most frequent adverse events. Seventy-four percent were considered mild in severity. Regarding causality, 62% of the suspected non-infectious ADRs were classified as Probable and all the infectious events as Possible. Of the ADRs observed, 33% were preventable. </w:t>
      </w:r>
    </w:p>
    <w:p w:rsidR="000C0C5B" w:rsidRPr="000D6D3D" w:rsidRDefault="000C0C5B" w:rsidP="000C0C5B">
      <w:pPr>
        <w:spacing w:line="360" w:lineRule="auto"/>
        <w:jc w:val="both"/>
        <w:rPr>
          <w:rFonts w:ascii="Times New Roman" w:hAnsi="Times New Roman" w:cs="Times New Roman"/>
          <w:sz w:val="24"/>
          <w:szCs w:val="24"/>
          <w:lang w:val="en-US"/>
        </w:rPr>
      </w:pPr>
      <w:r w:rsidRPr="000D6D3D">
        <w:rPr>
          <w:rFonts w:ascii="Times New Roman" w:hAnsi="Times New Roman" w:cs="Times New Roman"/>
          <w:b/>
          <w:bCs/>
          <w:sz w:val="24"/>
          <w:szCs w:val="24"/>
          <w:lang w:val="en-US"/>
        </w:rPr>
        <w:t>Conclusions:</w:t>
      </w:r>
      <w:r w:rsidRPr="000D6D3D">
        <w:rPr>
          <w:rFonts w:ascii="Times New Roman" w:hAnsi="Times New Roman" w:cs="Times New Roman"/>
          <w:sz w:val="24"/>
          <w:szCs w:val="24"/>
          <w:lang w:val="en-US"/>
        </w:rPr>
        <w:t xml:space="preserve"> the occurrence of ADR after the use of TCZ is frequent, of mild severity, and in one third of the cases, preventable. We suggest monitoring </w:t>
      </w:r>
      <w:proofErr w:type="spellStart"/>
      <w:r w:rsidRPr="000D6D3D">
        <w:rPr>
          <w:rFonts w:ascii="Times New Roman" w:hAnsi="Times New Roman" w:cs="Times New Roman"/>
          <w:sz w:val="24"/>
          <w:szCs w:val="24"/>
          <w:lang w:val="en-US"/>
        </w:rPr>
        <w:t>hemogram</w:t>
      </w:r>
      <w:proofErr w:type="spellEnd"/>
      <w:r w:rsidRPr="000D6D3D">
        <w:rPr>
          <w:rFonts w:ascii="Times New Roman" w:hAnsi="Times New Roman" w:cs="Times New Roman"/>
          <w:sz w:val="24"/>
          <w:szCs w:val="24"/>
          <w:lang w:val="en-US"/>
        </w:rPr>
        <w:t>, liver function tests and ruling out infection prior to TCZ administration.</w:t>
      </w:r>
    </w:p>
    <w:p w:rsidR="000C0C5B" w:rsidRPr="000D6D3D" w:rsidRDefault="000C0C5B" w:rsidP="000C0C5B">
      <w:pPr>
        <w:spacing w:line="360" w:lineRule="auto"/>
        <w:jc w:val="both"/>
        <w:rPr>
          <w:rFonts w:ascii="Times New Roman" w:hAnsi="Times New Roman" w:cs="Times New Roman"/>
          <w:sz w:val="24"/>
          <w:szCs w:val="24"/>
          <w:lang w:val="en-US"/>
        </w:rPr>
      </w:pPr>
    </w:p>
    <w:p w:rsidR="000C0C5B" w:rsidRPr="000D6D3D" w:rsidRDefault="000C0C5B" w:rsidP="000C0C5B">
      <w:pPr>
        <w:spacing w:line="360" w:lineRule="auto"/>
        <w:jc w:val="both"/>
        <w:rPr>
          <w:rFonts w:ascii="Times New Roman" w:hAnsi="Times New Roman" w:cs="Times New Roman"/>
          <w:sz w:val="24"/>
          <w:szCs w:val="24"/>
          <w:lang w:val="en-US"/>
        </w:rPr>
      </w:pPr>
      <w:proofErr w:type="spellStart"/>
      <w:r w:rsidRPr="000D6D3D">
        <w:rPr>
          <w:rFonts w:ascii="Times New Roman" w:hAnsi="Times New Roman" w:cs="Times New Roman"/>
          <w:b/>
          <w:sz w:val="24"/>
          <w:szCs w:val="24"/>
          <w:lang w:val="en-US"/>
        </w:rPr>
        <w:t>KeyWords</w:t>
      </w:r>
      <w:proofErr w:type="spellEnd"/>
      <w:r w:rsidRPr="000D6D3D">
        <w:rPr>
          <w:rFonts w:ascii="Times New Roman" w:hAnsi="Times New Roman" w:cs="Times New Roman"/>
          <w:sz w:val="24"/>
          <w:szCs w:val="24"/>
          <w:lang w:val="en-US"/>
        </w:rPr>
        <w:t xml:space="preserve">: </w:t>
      </w:r>
      <w:proofErr w:type="spellStart"/>
      <w:r w:rsidRPr="000D6D3D">
        <w:rPr>
          <w:rFonts w:ascii="Times New Roman" w:hAnsi="Times New Roman" w:cs="Times New Roman"/>
          <w:sz w:val="24"/>
          <w:szCs w:val="24"/>
          <w:lang w:val="en-US"/>
        </w:rPr>
        <w:t>Tocilizumab</w:t>
      </w:r>
      <w:proofErr w:type="spellEnd"/>
      <w:r w:rsidRPr="000D6D3D">
        <w:rPr>
          <w:rFonts w:ascii="Times New Roman" w:hAnsi="Times New Roman" w:cs="Times New Roman"/>
          <w:sz w:val="24"/>
          <w:szCs w:val="24"/>
          <w:lang w:val="en-US"/>
        </w:rPr>
        <w:t xml:space="preserve">, </w:t>
      </w:r>
      <w:r w:rsidRPr="000D6D3D">
        <w:rPr>
          <w:rFonts w:ascii="Times New Roman" w:hAnsi="Times New Roman" w:cs="Times New Roman"/>
          <w:color w:val="000000"/>
          <w:sz w:val="24"/>
          <w:szCs w:val="24"/>
          <w:shd w:val="clear" w:color="auto" w:fill="FFFFFF"/>
          <w:lang w:val="en-US"/>
        </w:rPr>
        <w:t>COVID-19, Drug-Related Side Effects and Adverse Reactions, Safety, Pharmacovigilance</w:t>
      </w:r>
    </w:p>
    <w:p w:rsidR="000C0C5B" w:rsidRPr="000D6D3D" w:rsidRDefault="000C0C5B" w:rsidP="00FE7C1D">
      <w:pPr>
        <w:spacing w:after="0" w:line="360" w:lineRule="auto"/>
        <w:rPr>
          <w:rFonts w:ascii="Times New Roman" w:hAnsi="Times New Roman" w:cs="Times New Roman"/>
          <w:color w:val="000000"/>
          <w:sz w:val="24"/>
          <w:szCs w:val="24"/>
          <w:shd w:val="clear" w:color="auto" w:fill="FFFFFF"/>
          <w:lang w:val="en-US"/>
        </w:rPr>
      </w:pPr>
    </w:p>
    <w:p w:rsidR="000C0C5B" w:rsidRPr="000D6D3D" w:rsidRDefault="000C0C5B" w:rsidP="00FE7C1D">
      <w:pPr>
        <w:spacing w:after="0" w:line="360" w:lineRule="auto"/>
        <w:rPr>
          <w:rFonts w:ascii="Times New Roman" w:hAnsi="Times New Roman" w:cs="Times New Roman"/>
          <w:sz w:val="24"/>
          <w:szCs w:val="24"/>
          <w:lang w:val="en-US"/>
        </w:rPr>
      </w:pPr>
    </w:p>
    <w:p w:rsidR="001E67FC" w:rsidRPr="000D6D3D" w:rsidRDefault="001E67FC" w:rsidP="00CF0B2C">
      <w:pPr>
        <w:spacing w:after="0" w:line="360" w:lineRule="auto"/>
        <w:jc w:val="both"/>
        <w:rPr>
          <w:rFonts w:ascii="Times New Roman" w:hAnsi="Times New Roman" w:cs="Times New Roman"/>
          <w:b/>
          <w:sz w:val="24"/>
          <w:szCs w:val="24"/>
          <w:lang w:val="en-US"/>
        </w:rPr>
      </w:pPr>
    </w:p>
    <w:p w:rsidR="001E67FC" w:rsidRPr="000D6D3D" w:rsidRDefault="001E67FC" w:rsidP="00CF0B2C">
      <w:pPr>
        <w:spacing w:after="0" w:line="360" w:lineRule="auto"/>
        <w:jc w:val="both"/>
        <w:rPr>
          <w:rFonts w:ascii="Times New Roman" w:hAnsi="Times New Roman" w:cs="Times New Roman"/>
          <w:b/>
          <w:sz w:val="24"/>
          <w:szCs w:val="24"/>
          <w:lang w:val="en-US"/>
        </w:rPr>
      </w:pPr>
    </w:p>
    <w:p w:rsidR="008B580F" w:rsidRPr="000D6D3D" w:rsidRDefault="008B580F" w:rsidP="00CF0B2C">
      <w:pPr>
        <w:spacing w:after="0" w:line="360" w:lineRule="auto"/>
        <w:jc w:val="both"/>
        <w:rPr>
          <w:rFonts w:ascii="Times New Roman" w:hAnsi="Times New Roman" w:cs="Times New Roman"/>
          <w:b/>
          <w:sz w:val="24"/>
          <w:szCs w:val="24"/>
          <w:lang w:val="es-ES"/>
        </w:rPr>
      </w:pPr>
      <w:r w:rsidRPr="000D6D3D">
        <w:rPr>
          <w:rFonts w:ascii="Times New Roman" w:hAnsi="Times New Roman" w:cs="Times New Roman"/>
          <w:b/>
          <w:sz w:val="24"/>
          <w:szCs w:val="24"/>
          <w:lang w:val="es-ES"/>
        </w:rPr>
        <w:lastRenderedPageBreak/>
        <w:t>Introducción</w:t>
      </w:r>
    </w:p>
    <w:p w:rsidR="008B580F" w:rsidRPr="000D6D3D" w:rsidRDefault="008B580F" w:rsidP="00CF0B2C">
      <w:pPr>
        <w:spacing w:line="360" w:lineRule="auto"/>
        <w:jc w:val="both"/>
        <w:rPr>
          <w:rFonts w:ascii="Times New Roman" w:hAnsi="Times New Roman" w:cs="Times New Roman"/>
          <w:sz w:val="24"/>
          <w:szCs w:val="24"/>
          <w:lang w:val="es-ES"/>
        </w:rPr>
      </w:pPr>
    </w:p>
    <w:p w:rsidR="00E23F0E" w:rsidRPr="000D6D3D" w:rsidRDefault="00443C31" w:rsidP="00CF0B2C">
      <w:pPr>
        <w:spacing w:after="0" w:line="360" w:lineRule="auto"/>
        <w:jc w:val="both"/>
        <w:rPr>
          <w:rFonts w:ascii="Times New Roman" w:hAnsi="Times New Roman" w:cs="Times New Roman"/>
          <w:color w:val="2F5496" w:themeColor="accent5" w:themeShade="BF"/>
          <w:sz w:val="24"/>
          <w:szCs w:val="24"/>
        </w:rPr>
      </w:pPr>
      <w:r w:rsidRPr="000D6D3D">
        <w:rPr>
          <w:rFonts w:ascii="Times New Roman" w:hAnsi="Times New Roman" w:cs="Times New Roman"/>
          <w:sz w:val="24"/>
          <w:szCs w:val="24"/>
          <w:lang w:val="es-ES"/>
        </w:rPr>
        <w:t xml:space="preserve">En </w:t>
      </w:r>
      <w:r w:rsidR="0005396D" w:rsidRPr="000D6D3D">
        <w:rPr>
          <w:rFonts w:ascii="Times New Roman" w:hAnsi="Times New Roman" w:cs="Times New Roman"/>
          <w:sz w:val="24"/>
          <w:szCs w:val="24"/>
          <w:lang w:val="es-ES"/>
        </w:rPr>
        <w:t>el 5% de los casos de COVID-19,</w:t>
      </w:r>
      <w:r w:rsidRPr="000D6D3D">
        <w:rPr>
          <w:rFonts w:ascii="Times New Roman" w:hAnsi="Times New Roman" w:cs="Times New Roman"/>
          <w:sz w:val="24"/>
          <w:szCs w:val="24"/>
          <w:lang w:val="es-ES"/>
        </w:rPr>
        <w:t xml:space="preserve"> </w:t>
      </w:r>
      <w:r w:rsidR="008B580F" w:rsidRPr="000D6D3D">
        <w:rPr>
          <w:rFonts w:ascii="Times New Roman" w:hAnsi="Times New Roman" w:cs="Times New Roman"/>
          <w:sz w:val="24"/>
          <w:szCs w:val="24"/>
          <w:lang w:val="es-ES"/>
        </w:rPr>
        <w:t xml:space="preserve">se describe una desregulación inmune y </w:t>
      </w:r>
      <w:r w:rsidR="00883B2B" w:rsidRPr="000D6D3D">
        <w:rPr>
          <w:rFonts w:ascii="Times New Roman" w:hAnsi="Times New Roman" w:cs="Times New Roman"/>
          <w:sz w:val="24"/>
          <w:szCs w:val="24"/>
          <w:lang w:val="es-ES"/>
        </w:rPr>
        <w:t xml:space="preserve">una </w:t>
      </w:r>
      <w:r w:rsidR="008B580F" w:rsidRPr="000D6D3D">
        <w:rPr>
          <w:rFonts w:ascii="Times New Roman" w:hAnsi="Times New Roman" w:cs="Times New Roman"/>
          <w:sz w:val="24"/>
          <w:szCs w:val="24"/>
          <w:lang w:val="es-ES"/>
        </w:rPr>
        <w:t>producción exacerbada de citoquinas proinflamatorias</w:t>
      </w:r>
      <w:r w:rsidR="00D33959" w:rsidRPr="000D6D3D">
        <w:rPr>
          <w:rFonts w:ascii="Times New Roman" w:hAnsi="Times New Roman" w:cs="Times New Roman"/>
          <w:sz w:val="24"/>
          <w:szCs w:val="24"/>
          <w:lang w:val="es-ES"/>
        </w:rPr>
        <w:t xml:space="preserve">, siendo </w:t>
      </w:r>
      <w:r w:rsidR="008B580F" w:rsidRPr="000D6D3D">
        <w:rPr>
          <w:rFonts w:ascii="Times New Roman" w:hAnsi="Times New Roman" w:cs="Times New Roman"/>
          <w:sz w:val="24"/>
          <w:szCs w:val="24"/>
          <w:lang w:val="es-ES"/>
        </w:rPr>
        <w:t xml:space="preserve">la interleucina 6 (IL-6) </w:t>
      </w:r>
      <w:r w:rsidR="00D33959" w:rsidRPr="000D6D3D">
        <w:rPr>
          <w:rFonts w:ascii="Times New Roman" w:hAnsi="Times New Roman" w:cs="Times New Roman"/>
          <w:sz w:val="24"/>
          <w:szCs w:val="24"/>
          <w:lang w:val="es-ES"/>
        </w:rPr>
        <w:t xml:space="preserve">una de las más estudiadas </w:t>
      </w:r>
      <w:r w:rsidR="008B580F" w:rsidRPr="000D6D3D">
        <w:rPr>
          <w:rFonts w:ascii="Times New Roman" w:hAnsi="Times New Roman" w:cs="Times New Roman"/>
          <w:sz w:val="24"/>
          <w:szCs w:val="24"/>
          <w:lang w:val="es-ES"/>
        </w:rPr>
        <w:t>[</w:t>
      </w:r>
      <w:r w:rsidRPr="000D6D3D">
        <w:rPr>
          <w:rFonts w:ascii="Times New Roman" w:hAnsi="Times New Roman" w:cs="Times New Roman"/>
          <w:sz w:val="24"/>
          <w:szCs w:val="24"/>
          <w:lang w:val="es-ES"/>
        </w:rPr>
        <w:t>1-</w:t>
      </w:r>
      <w:r w:rsidR="008B580F" w:rsidRPr="000D6D3D">
        <w:rPr>
          <w:rFonts w:ascii="Times New Roman" w:hAnsi="Times New Roman" w:cs="Times New Roman"/>
          <w:sz w:val="24"/>
          <w:szCs w:val="24"/>
          <w:lang w:val="es-ES"/>
        </w:rPr>
        <w:t>3]. E</w:t>
      </w:r>
      <w:r w:rsidR="008B580F" w:rsidRPr="000D6D3D">
        <w:rPr>
          <w:rFonts w:ascii="Times New Roman" w:hAnsi="Times New Roman" w:cs="Times New Roman"/>
          <w:sz w:val="24"/>
          <w:szCs w:val="24"/>
        </w:rPr>
        <w:t xml:space="preserve">l </w:t>
      </w:r>
      <w:r w:rsidR="00CF43A0" w:rsidRPr="000D6D3D">
        <w:rPr>
          <w:rFonts w:ascii="Times New Roman" w:hAnsi="Times New Roman" w:cs="Times New Roman"/>
          <w:sz w:val="24"/>
          <w:szCs w:val="24"/>
        </w:rPr>
        <w:t xml:space="preserve">inhibidor del receptor de IL-6 </w:t>
      </w:r>
      <w:proofErr w:type="spellStart"/>
      <w:r w:rsidR="008B580F" w:rsidRPr="000D6D3D">
        <w:rPr>
          <w:rFonts w:ascii="Times New Roman" w:hAnsi="Times New Roman" w:cs="Times New Roman"/>
          <w:sz w:val="24"/>
          <w:szCs w:val="24"/>
        </w:rPr>
        <w:t>Tocilizumab</w:t>
      </w:r>
      <w:proofErr w:type="spellEnd"/>
      <w:r w:rsidR="008B580F" w:rsidRPr="000D6D3D">
        <w:rPr>
          <w:rFonts w:ascii="Times New Roman" w:hAnsi="Times New Roman" w:cs="Times New Roman"/>
          <w:sz w:val="24"/>
          <w:szCs w:val="24"/>
        </w:rPr>
        <w:t xml:space="preserve"> (TCZ)</w:t>
      </w:r>
      <w:r w:rsidR="00CF43A0" w:rsidRPr="000D6D3D">
        <w:rPr>
          <w:rFonts w:ascii="Times New Roman" w:hAnsi="Times New Roman" w:cs="Times New Roman"/>
          <w:sz w:val="24"/>
          <w:szCs w:val="24"/>
        </w:rPr>
        <w:t>,</w:t>
      </w:r>
      <w:r w:rsidR="008B580F" w:rsidRPr="000D6D3D">
        <w:rPr>
          <w:rFonts w:ascii="Times New Roman" w:hAnsi="Times New Roman" w:cs="Times New Roman"/>
          <w:sz w:val="24"/>
          <w:szCs w:val="24"/>
        </w:rPr>
        <w:t xml:space="preserve"> se ha planteado como </w:t>
      </w:r>
      <w:r w:rsidR="00CF43A0" w:rsidRPr="000D6D3D">
        <w:rPr>
          <w:rFonts w:ascii="Times New Roman" w:hAnsi="Times New Roman" w:cs="Times New Roman"/>
          <w:sz w:val="24"/>
          <w:szCs w:val="24"/>
        </w:rPr>
        <w:t xml:space="preserve">una alternativa de </w:t>
      </w:r>
      <w:r w:rsidR="0005396D" w:rsidRPr="000D6D3D">
        <w:rPr>
          <w:rFonts w:ascii="Times New Roman" w:hAnsi="Times New Roman" w:cs="Times New Roman"/>
          <w:sz w:val="24"/>
          <w:szCs w:val="24"/>
        </w:rPr>
        <w:t>tratamiento</w:t>
      </w:r>
      <w:r w:rsidR="008B580F" w:rsidRPr="000D6D3D">
        <w:rPr>
          <w:rFonts w:ascii="Times New Roman" w:hAnsi="Times New Roman" w:cs="Times New Roman"/>
          <w:sz w:val="24"/>
          <w:szCs w:val="24"/>
        </w:rPr>
        <w:t xml:space="preserve"> para los casos graves</w:t>
      </w:r>
      <w:r w:rsidR="00CF43A0" w:rsidRPr="000D6D3D">
        <w:rPr>
          <w:rFonts w:ascii="Times New Roman" w:hAnsi="Times New Roman" w:cs="Times New Roman"/>
          <w:sz w:val="24"/>
          <w:szCs w:val="24"/>
        </w:rPr>
        <w:t>, aunque</w:t>
      </w:r>
      <w:r w:rsidR="00A24E91" w:rsidRPr="000D6D3D">
        <w:rPr>
          <w:rFonts w:ascii="Times New Roman" w:hAnsi="Times New Roman" w:cs="Times New Roman"/>
          <w:sz w:val="24"/>
          <w:szCs w:val="24"/>
        </w:rPr>
        <w:t xml:space="preserve"> algunos de</w:t>
      </w:r>
      <w:r w:rsidR="00CF43A0" w:rsidRPr="000D6D3D">
        <w:rPr>
          <w:rFonts w:ascii="Times New Roman" w:hAnsi="Times New Roman" w:cs="Times New Roman"/>
          <w:sz w:val="24"/>
          <w:szCs w:val="24"/>
        </w:rPr>
        <w:t xml:space="preserve"> sus </w:t>
      </w:r>
      <w:r w:rsidR="00303C66" w:rsidRPr="000D6D3D">
        <w:rPr>
          <w:rFonts w:ascii="Times New Roman" w:hAnsi="Times New Roman" w:cs="Times New Roman"/>
          <w:color w:val="2F5496" w:themeColor="accent5" w:themeShade="BF"/>
          <w:sz w:val="24"/>
          <w:szCs w:val="24"/>
        </w:rPr>
        <w:t xml:space="preserve">resultados </w:t>
      </w:r>
      <w:r w:rsidR="00CF43A0" w:rsidRPr="000D6D3D">
        <w:rPr>
          <w:rFonts w:ascii="Times New Roman" w:hAnsi="Times New Roman" w:cs="Times New Roman"/>
          <w:color w:val="2F5496" w:themeColor="accent5" w:themeShade="BF"/>
          <w:sz w:val="24"/>
          <w:szCs w:val="24"/>
        </w:rPr>
        <w:t xml:space="preserve">de eficacia han sido </w:t>
      </w:r>
      <w:r w:rsidR="00375C49" w:rsidRPr="000D6D3D">
        <w:rPr>
          <w:rFonts w:ascii="Times New Roman" w:hAnsi="Times New Roman" w:cs="Times New Roman"/>
          <w:color w:val="2F5496" w:themeColor="accent5" w:themeShade="BF"/>
          <w:sz w:val="24"/>
          <w:szCs w:val="24"/>
        </w:rPr>
        <w:t xml:space="preserve">heterogéneos </w:t>
      </w:r>
      <w:r w:rsidR="005A141F" w:rsidRPr="000D6D3D">
        <w:rPr>
          <w:rFonts w:ascii="Times New Roman" w:hAnsi="Times New Roman" w:cs="Times New Roman"/>
          <w:color w:val="2F5496" w:themeColor="accent5" w:themeShade="BF"/>
          <w:sz w:val="24"/>
          <w:szCs w:val="24"/>
        </w:rPr>
        <w:t xml:space="preserve">y no significativos </w:t>
      </w:r>
      <w:r w:rsidR="00164D04" w:rsidRPr="000D6D3D">
        <w:rPr>
          <w:rFonts w:ascii="Times New Roman" w:hAnsi="Times New Roman" w:cs="Times New Roman"/>
          <w:sz w:val="24"/>
          <w:szCs w:val="24"/>
        </w:rPr>
        <w:t>[4,</w:t>
      </w:r>
      <w:r w:rsidR="00FD289D" w:rsidRPr="000D6D3D">
        <w:rPr>
          <w:rFonts w:ascii="Times New Roman" w:hAnsi="Times New Roman" w:cs="Times New Roman"/>
          <w:sz w:val="24"/>
          <w:szCs w:val="24"/>
        </w:rPr>
        <w:t>5]</w:t>
      </w:r>
      <w:r w:rsidR="00303C66" w:rsidRPr="000D6D3D">
        <w:rPr>
          <w:rFonts w:ascii="Times New Roman" w:hAnsi="Times New Roman" w:cs="Times New Roman"/>
          <w:color w:val="2F5496" w:themeColor="accent5" w:themeShade="BF"/>
          <w:sz w:val="24"/>
          <w:szCs w:val="24"/>
        </w:rPr>
        <w:t xml:space="preserve">. </w:t>
      </w:r>
      <w:r w:rsidR="00195C75" w:rsidRPr="000D6D3D">
        <w:rPr>
          <w:rFonts w:ascii="Times New Roman" w:hAnsi="Times New Roman" w:cs="Times New Roman"/>
          <w:color w:val="2F5496" w:themeColor="accent5" w:themeShade="BF"/>
          <w:sz w:val="24"/>
          <w:szCs w:val="24"/>
        </w:rPr>
        <w:t>Por su parte, e</w:t>
      </w:r>
      <w:r w:rsidR="00D33959" w:rsidRPr="000D6D3D">
        <w:rPr>
          <w:rFonts w:ascii="Times New Roman" w:hAnsi="Times New Roman" w:cs="Times New Roman"/>
          <w:color w:val="2F5496" w:themeColor="accent5" w:themeShade="BF"/>
          <w:sz w:val="24"/>
          <w:szCs w:val="24"/>
        </w:rPr>
        <w:t>l grupo</w:t>
      </w:r>
      <w:r w:rsidR="008B580F" w:rsidRPr="000D6D3D">
        <w:rPr>
          <w:rFonts w:ascii="Times New Roman" w:hAnsi="Times New Roman" w:cs="Times New Roman"/>
          <w:color w:val="2F5496" w:themeColor="accent5" w:themeShade="BF"/>
          <w:sz w:val="24"/>
          <w:szCs w:val="24"/>
        </w:rPr>
        <w:t xml:space="preserve"> RECOVERY</w:t>
      </w:r>
      <w:r w:rsidR="00E23F0E" w:rsidRPr="000D6D3D">
        <w:rPr>
          <w:rFonts w:ascii="Times New Roman" w:hAnsi="Times New Roman" w:cs="Times New Roman"/>
          <w:color w:val="2F5496" w:themeColor="accent5" w:themeShade="BF"/>
          <w:sz w:val="24"/>
          <w:szCs w:val="24"/>
        </w:rPr>
        <w:t xml:space="preserve"> </w:t>
      </w:r>
      <w:r w:rsidR="00303C66" w:rsidRPr="000D6D3D">
        <w:rPr>
          <w:rFonts w:ascii="Times New Roman" w:hAnsi="Times New Roman" w:cs="Times New Roman"/>
          <w:color w:val="2F5496" w:themeColor="accent5" w:themeShade="BF"/>
          <w:sz w:val="24"/>
          <w:szCs w:val="24"/>
        </w:rPr>
        <w:t>demostró una reduc</w:t>
      </w:r>
      <w:r w:rsidR="00375C49" w:rsidRPr="000D6D3D">
        <w:rPr>
          <w:rFonts w:ascii="Times New Roman" w:hAnsi="Times New Roman" w:cs="Times New Roman"/>
          <w:color w:val="2F5496" w:themeColor="accent5" w:themeShade="BF"/>
          <w:sz w:val="24"/>
          <w:szCs w:val="24"/>
        </w:rPr>
        <w:t>ción de la mortal</w:t>
      </w:r>
      <w:r w:rsidR="00E23F0E" w:rsidRPr="000D6D3D">
        <w:rPr>
          <w:rFonts w:ascii="Times New Roman" w:hAnsi="Times New Roman" w:cs="Times New Roman"/>
          <w:color w:val="2F5496" w:themeColor="accent5" w:themeShade="BF"/>
          <w:sz w:val="24"/>
          <w:szCs w:val="24"/>
        </w:rPr>
        <w:t>idad por el uso de TCZ en pacientes hospitalizados con requerimientos de oxígeno, adicional a lo observado previamente con Dexametasona</w:t>
      </w:r>
      <w:r w:rsidR="00C453EC" w:rsidRPr="000D6D3D">
        <w:rPr>
          <w:rFonts w:ascii="Times New Roman" w:hAnsi="Times New Roman" w:cs="Times New Roman"/>
          <w:color w:val="2F5496" w:themeColor="accent5" w:themeShade="BF"/>
          <w:sz w:val="24"/>
          <w:szCs w:val="24"/>
        </w:rPr>
        <w:t xml:space="preserve"> [</w:t>
      </w:r>
      <w:r w:rsidR="00164D04" w:rsidRPr="000D6D3D">
        <w:rPr>
          <w:rFonts w:ascii="Times New Roman" w:hAnsi="Times New Roman" w:cs="Times New Roman"/>
          <w:color w:val="2F5496" w:themeColor="accent5" w:themeShade="BF"/>
          <w:sz w:val="24"/>
          <w:szCs w:val="24"/>
        </w:rPr>
        <w:t>6,</w:t>
      </w:r>
      <w:r w:rsidR="00C453EC" w:rsidRPr="000D6D3D">
        <w:rPr>
          <w:rFonts w:ascii="Times New Roman" w:hAnsi="Times New Roman" w:cs="Times New Roman"/>
          <w:color w:val="2F5496" w:themeColor="accent5" w:themeShade="BF"/>
          <w:sz w:val="24"/>
          <w:szCs w:val="24"/>
        </w:rPr>
        <w:t>7]</w:t>
      </w:r>
      <w:r w:rsidR="00E23F0E" w:rsidRPr="000D6D3D">
        <w:rPr>
          <w:rFonts w:ascii="Times New Roman" w:hAnsi="Times New Roman" w:cs="Times New Roman"/>
          <w:color w:val="2F5496" w:themeColor="accent5" w:themeShade="BF"/>
          <w:sz w:val="24"/>
          <w:szCs w:val="24"/>
        </w:rPr>
        <w:t xml:space="preserve">. </w:t>
      </w:r>
    </w:p>
    <w:p w:rsidR="00E23F0E" w:rsidRPr="000D6D3D" w:rsidRDefault="00E23F0E" w:rsidP="00CF0B2C">
      <w:pPr>
        <w:spacing w:after="0" w:line="360" w:lineRule="auto"/>
        <w:jc w:val="both"/>
        <w:rPr>
          <w:rFonts w:ascii="Times New Roman" w:hAnsi="Times New Roman" w:cs="Times New Roman"/>
          <w:color w:val="2F5496" w:themeColor="accent5" w:themeShade="BF"/>
          <w:sz w:val="24"/>
          <w:szCs w:val="24"/>
        </w:rPr>
      </w:pPr>
    </w:p>
    <w:p w:rsidR="008B580F" w:rsidRPr="000D6D3D" w:rsidRDefault="008B580F" w:rsidP="00CF0B2C">
      <w:pPr>
        <w:spacing w:after="0" w:line="360" w:lineRule="auto"/>
        <w:jc w:val="both"/>
        <w:rPr>
          <w:rFonts w:ascii="Times New Roman" w:hAnsi="Times New Roman" w:cs="Times New Roman"/>
          <w:sz w:val="24"/>
          <w:szCs w:val="24"/>
        </w:rPr>
      </w:pPr>
      <w:r w:rsidRPr="000D6D3D">
        <w:rPr>
          <w:rFonts w:ascii="Times New Roman" w:hAnsi="Times New Roman" w:cs="Times New Roman"/>
          <w:spacing w:val="-5"/>
          <w:sz w:val="24"/>
          <w:szCs w:val="24"/>
          <w:shd w:val="clear" w:color="auto" w:fill="FFFFFF"/>
        </w:rPr>
        <w:t xml:space="preserve">Respecto al perfil de seguridad de </w:t>
      </w:r>
      <w:r w:rsidRPr="000D6D3D">
        <w:rPr>
          <w:rFonts w:ascii="Times New Roman" w:hAnsi="Times New Roman" w:cs="Times New Roman"/>
          <w:sz w:val="24"/>
          <w:szCs w:val="24"/>
        </w:rPr>
        <w:t xml:space="preserve">TCZ, la información sobre sus </w:t>
      </w:r>
      <w:r w:rsidR="008D49C0" w:rsidRPr="000D6D3D">
        <w:rPr>
          <w:rFonts w:ascii="Times New Roman" w:hAnsi="Times New Roman" w:cs="Times New Roman"/>
          <w:sz w:val="24"/>
          <w:szCs w:val="24"/>
        </w:rPr>
        <w:t xml:space="preserve">reacciones </w:t>
      </w:r>
      <w:r w:rsidRPr="000D6D3D">
        <w:rPr>
          <w:rFonts w:ascii="Times New Roman" w:hAnsi="Times New Roman" w:cs="Times New Roman"/>
          <w:sz w:val="24"/>
          <w:szCs w:val="24"/>
        </w:rPr>
        <w:t>advers</w:t>
      </w:r>
      <w:r w:rsidR="008D49C0" w:rsidRPr="000D6D3D">
        <w:rPr>
          <w:rFonts w:ascii="Times New Roman" w:hAnsi="Times New Roman" w:cs="Times New Roman"/>
          <w:sz w:val="24"/>
          <w:szCs w:val="24"/>
        </w:rPr>
        <w:t>a</w:t>
      </w:r>
      <w:r w:rsidRPr="000D6D3D">
        <w:rPr>
          <w:rFonts w:ascii="Times New Roman" w:hAnsi="Times New Roman" w:cs="Times New Roman"/>
          <w:sz w:val="24"/>
          <w:szCs w:val="24"/>
        </w:rPr>
        <w:t xml:space="preserve">s </w:t>
      </w:r>
      <w:r w:rsidR="008D49C0" w:rsidRPr="000D6D3D">
        <w:rPr>
          <w:rFonts w:ascii="Times New Roman" w:hAnsi="Times New Roman" w:cs="Times New Roman"/>
          <w:sz w:val="24"/>
          <w:szCs w:val="24"/>
        </w:rPr>
        <w:t xml:space="preserve">(RAM) proviene principalmente </w:t>
      </w:r>
      <w:r w:rsidR="00D97891" w:rsidRPr="000D6D3D">
        <w:rPr>
          <w:rFonts w:ascii="Times New Roman" w:hAnsi="Times New Roman" w:cs="Times New Roman"/>
          <w:sz w:val="24"/>
          <w:szCs w:val="24"/>
        </w:rPr>
        <w:t>de estudios con</w:t>
      </w:r>
      <w:r w:rsidRPr="000D6D3D">
        <w:rPr>
          <w:rFonts w:ascii="Times New Roman" w:hAnsi="Times New Roman" w:cs="Times New Roman"/>
          <w:sz w:val="24"/>
          <w:szCs w:val="24"/>
        </w:rPr>
        <w:t xml:space="preserve"> </w:t>
      </w:r>
      <w:r w:rsidR="00D97891" w:rsidRPr="000D6D3D">
        <w:rPr>
          <w:rFonts w:ascii="Times New Roman" w:hAnsi="Times New Roman" w:cs="Times New Roman"/>
          <w:sz w:val="24"/>
          <w:szCs w:val="24"/>
        </w:rPr>
        <w:t>indicación</w:t>
      </w:r>
      <w:r w:rsidRPr="000D6D3D">
        <w:rPr>
          <w:rFonts w:ascii="Times New Roman" w:hAnsi="Times New Roman" w:cs="Times New Roman"/>
          <w:sz w:val="24"/>
          <w:szCs w:val="24"/>
        </w:rPr>
        <w:t xml:space="preserve"> crónic</w:t>
      </w:r>
      <w:r w:rsidR="00D97891" w:rsidRPr="000D6D3D">
        <w:rPr>
          <w:rFonts w:ascii="Times New Roman" w:hAnsi="Times New Roman" w:cs="Times New Roman"/>
          <w:sz w:val="24"/>
          <w:szCs w:val="24"/>
        </w:rPr>
        <w:t>a</w:t>
      </w:r>
      <w:r w:rsidRPr="000D6D3D">
        <w:rPr>
          <w:rFonts w:ascii="Times New Roman" w:hAnsi="Times New Roman" w:cs="Times New Roman"/>
          <w:sz w:val="24"/>
          <w:szCs w:val="24"/>
        </w:rPr>
        <w:t xml:space="preserve"> del medicamento [</w:t>
      </w:r>
      <w:r w:rsidR="00FD289D" w:rsidRPr="000D6D3D">
        <w:rPr>
          <w:rFonts w:ascii="Times New Roman" w:hAnsi="Times New Roman" w:cs="Times New Roman"/>
          <w:sz w:val="24"/>
          <w:szCs w:val="24"/>
        </w:rPr>
        <w:t>8</w:t>
      </w:r>
      <w:r w:rsidR="00D97891" w:rsidRPr="000D6D3D">
        <w:rPr>
          <w:rFonts w:ascii="Times New Roman" w:hAnsi="Times New Roman" w:cs="Times New Roman"/>
          <w:sz w:val="24"/>
          <w:szCs w:val="24"/>
        </w:rPr>
        <w:t>], sin embargo las RAM asociadas al uso agudo</w:t>
      </w:r>
      <w:r w:rsidRPr="000D6D3D">
        <w:rPr>
          <w:rFonts w:ascii="Times New Roman" w:hAnsi="Times New Roman" w:cs="Times New Roman"/>
          <w:sz w:val="24"/>
          <w:szCs w:val="24"/>
        </w:rPr>
        <w:t xml:space="preserve"> en COVID-19</w:t>
      </w:r>
      <w:r w:rsidR="00D97891" w:rsidRPr="000D6D3D">
        <w:rPr>
          <w:rFonts w:ascii="Times New Roman" w:hAnsi="Times New Roman" w:cs="Times New Roman"/>
          <w:sz w:val="24"/>
          <w:szCs w:val="24"/>
        </w:rPr>
        <w:t>,</w:t>
      </w:r>
      <w:r w:rsidRPr="000D6D3D">
        <w:rPr>
          <w:rFonts w:ascii="Times New Roman" w:hAnsi="Times New Roman" w:cs="Times New Roman"/>
          <w:sz w:val="24"/>
          <w:szCs w:val="24"/>
        </w:rPr>
        <w:t xml:space="preserve"> son aún limitad</w:t>
      </w:r>
      <w:r w:rsidR="006C5BBB" w:rsidRPr="000D6D3D">
        <w:rPr>
          <w:rFonts w:ascii="Times New Roman" w:hAnsi="Times New Roman" w:cs="Times New Roman"/>
          <w:sz w:val="24"/>
          <w:szCs w:val="24"/>
        </w:rPr>
        <w:t>a</w:t>
      </w:r>
      <w:r w:rsidRPr="000D6D3D">
        <w:rPr>
          <w:rFonts w:ascii="Times New Roman" w:hAnsi="Times New Roman" w:cs="Times New Roman"/>
          <w:sz w:val="24"/>
          <w:szCs w:val="24"/>
        </w:rPr>
        <w:t xml:space="preserve">s </w:t>
      </w:r>
      <w:r w:rsidR="0057047F" w:rsidRPr="000D6D3D">
        <w:rPr>
          <w:rFonts w:ascii="Times New Roman" w:hAnsi="Times New Roman" w:cs="Times New Roman"/>
          <w:sz w:val="24"/>
          <w:szCs w:val="24"/>
        </w:rPr>
        <w:t>[</w:t>
      </w:r>
      <w:r w:rsidR="00164D04" w:rsidRPr="000D6D3D">
        <w:rPr>
          <w:rFonts w:ascii="Times New Roman" w:hAnsi="Times New Roman" w:cs="Times New Roman"/>
          <w:sz w:val="24"/>
          <w:szCs w:val="24"/>
        </w:rPr>
        <w:t>4</w:t>
      </w:r>
      <w:proofErr w:type="gramStart"/>
      <w:r w:rsidR="00164D04" w:rsidRPr="000D6D3D">
        <w:rPr>
          <w:rFonts w:ascii="Times New Roman" w:hAnsi="Times New Roman" w:cs="Times New Roman"/>
          <w:sz w:val="24"/>
          <w:szCs w:val="24"/>
        </w:rPr>
        <w:t>,5,</w:t>
      </w:r>
      <w:r w:rsidR="00FD289D" w:rsidRPr="000D6D3D">
        <w:rPr>
          <w:rFonts w:ascii="Times New Roman" w:hAnsi="Times New Roman" w:cs="Times New Roman"/>
          <w:sz w:val="24"/>
          <w:szCs w:val="24"/>
        </w:rPr>
        <w:t>9</w:t>
      </w:r>
      <w:proofErr w:type="gramEnd"/>
      <w:r w:rsidR="0057047F" w:rsidRPr="000D6D3D">
        <w:rPr>
          <w:rFonts w:ascii="Times New Roman" w:hAnsi="Times New Roman" w:cs="Times New Roman"/>
          <w:sz w:val="24"/>
          <w:szCs w:val="24"/>
        </w:rPr>
        <w:t>-</w:t>
      </w:r>
      <w:r w:rsidR="00FD289D" w:rsidRPr="000D6D3D">
        <w:rPr>
          <w:rFonts w:ascii="Times New Roman" w:hAnsi="Times New Roman" w:cs="Times New Roman"/>
          <w:sz w:val="24"/>
          <w:szCs w:val="24"/>
        </w:rPr>
        <w:t>12</w:t>
      </w:r>
      <w:r w:rsidR="0057047F" w:rsidRPr="000D6D3D">
        <w:rPr>
          <w:rFonts w:ascii="Times New Roman" w:hAnsi="Times New Roman" w:cs="Times New Roman"/>
          <w:sz w:val="24"/>
          <w:szCs w:val="24"/>
        </w:rPr>
        <w:t xml:space="preserve">]. </w:t>
      </w:r>
      <w:r w:rsidRPr="000D6D3D">
        <w:rPr>
          <w:rFonts w:ascii="Times New Roman" w:hAnsi="Times New Roman" w:cs="Times New Roman"/>
          <w:sz w:val="24"/>
          <w:szCs w:val="24"/>
        </w:rPr>
        <w:t xml:space="preserve">Las </w:t>
      </w:r>
      <w:r w:rsidR="008D49C0" w:rsidRPr="000D6D3D">
        <w:rPr>
          <w:rFonts w:ascii="Times New Roman" w:hAnsi="Times New Roman" w:cs="Times New Roman"/>
          <w:sz w:val="24"/>
          <w:szCs w:val="24"/>
        </w:rPr>
        <w:t xml:space="preserve">RAM </w:t>
      </w:r>
      <w:r w:rsidR="00854358" w:rsidRPr="000D6D3D">
        <w:rPr>
          <w:rFonts w:ascii="Times New Roman" w:hAnsi="Times New Roman" w:cs="Times New Roman"/>
          <w:sz w:val="24"/>
          <w:szCs w:val="24"/>
        </w:rPr>
        <w:t xml:space="preserve">de </w:t>
      </w:r>
      <w:r w:rsidR="00164D04" w:rsidRPr="000D6D3D">
        <w:rPr>
          <w:rFonts w:ascii="Times New Roman" w:hAnsi="Times New Roman" w:cs="Times New Roman"/>
          <w:sz w:val="24"/>
          <w:szCs w:val="24"/>
        </w:rPr>
        <w:t>mayor frecuencia detectada</w:t>
      </w:r>
      <w:r w:rsidRPr="000D6D3D">
        <w:rPr>
          <w:rFonts w:ascii="Times New Roman" w:hAnsi="Times New Roman" w:cs="Times New Roman"/>
          <w:sz w:val="24"/>
          <w:szCs w:val="24"/>
        </w:rPr>
        <w:t xml:space="preserve"> en los estudios </w:t>
      </w:r>
      <w:r w:rsidR="00854358" w:rsidRPr="000D6D3D">
        <w:rPr>
          <w:rFonts w:ascii="Times New Roman" w:hAnsi="Times New Roman" w:cs="Times New Roman"/>
          <w:sz w:val="24"/>
          <w:szCs w:val="24"/>
        </w:rPr>
        <w:t>han sido</w:t>
      </w:r>
      <w:r w:rsidRPr="000D6D3D">
        <w:rPr>
          <w:rFonts w:ascii="Times New Roman" w:hAnsi="Times New Roman" w:cs="Times New Roman"/>
          <w:sz w:val="24"/>
          <w:szCs w:val="24"/>
        </w:rPr>
        <w:t>: neutropenia, transaminitis y desarrollo de infecciones</w:t>
      </w:r>
      <w:r w:rsidR="00164D04" w:rsidRPr="000D6D3D">
        <w:rPr>
          <w:rFonts w:ascii="Times New Roman" w:hAnsi="Times New Roman" w:cs="Times New Roman"/>
          <w:sz w:val="24"/>
          <w:szCs w:val="24"/>
        </w:rPr>
        <w:t xml:space="preserve"> [4</w:t>
      </w:r>
      <w:proofErr w:type="gramStart"/>
      <w:r w:rsidR="00164D04" w:rsidRPr="000D6D3D">
        <w:rPr>
          <w:rFonts w:ascii="Times New Roman" w:hAnsi="Times New Roman" w:cs="Times New Roman"/>
          <w:sz w:val="24"/>
          <w:szCs w:val="24"/>
        </w:rPr>
        <w:t>,5,10</w:t>
      </w:r>
      <w:proofErr w:type="gramEnd"/>
      <w:r w:rsidR="00164D04" w:rsidRPr="000D6D3D">
        <w:rPr>
          <w:rFonts w:ascii="Times New Roman" w:hAnsi="Times New Roman" w:cs="Times New Roman"/>
          <w:sz w:val="24"/>
          <w:szCs w:val="24"/>
        </w:rPr>
        <w:t>]</w:t>
      </w:r>
      <w:r w:rsidRPr="000D6D3D">
        <w:rPr>
          <w:rFonts w:ascii="Times New Roman" w:hAnsi="Times New Roman" w:cs="Times New Roman"/>
          <w:sz w:val="24"/>
          <w:szCs w:val="24"/>
        </w:rPr>
        <w:t xml:space="preserve">. Dado la necesidad de mayor información del perfil de seguridad de TCZ para una indicación </w:t>
      </w:r>
      <w:r w:rsidR="00D5408E" w:rsidRPr="000D6D3D">
        <w:rPr>
          <w:rFonts w:ascii="Times New Roman" w:hAnsi="Times New Roman" w:cs="Times New Roman"/>
          <w:i/>
          <w:sz w:val="24"/>
          <w:szCs w:val="24"/>
        </w:rPr>
        <w:t>off-</w:t>
      </w:r>
      <w:proofErr w:type="spellStart"/>
      <w:r w:rsidR="00D5408E" w:rsidRPr="000D6D3D">
        <w:rPr>
          <w:rFonts w:ascii="Times New Roman" w:hAnsi="Times New Roman" w:cs="Times New Roman"/>
          <w:i/>
          <w:sz w:val="24"/>
          <w:szCs w:val="24"/>
        </w:rPr>
        <w:t>label</w:t>
      </w:r>
      <w:proofErr w:type="spellEnd"/>
      <w:r w:rsidRPr="000D6D3D">
        <w:rPr>
          <w:rFonts w:ascii="Times New Roman" w:hAnsi="Times New Roman" w:cs="Times New Roman"/>
          <w:sz w:val="24"/>
          <w:szCs w:val="24"/>
        </w:rPr>
        <w:t>, no</w:t>
      </w:r>
      <w:r w:rsidR="008002EA" w:rsidRPr="000D6D3D">
        <w:rPr>
          <w:rFonts w:ascii="Times New Roman" w:hAnsi="Times New Roman" w:cs="Times New Roman"/>
          <w:sz w:val="24"/>
          <w:szCs w:val="24"/>
        </w:rPr>
        <w:t>s</w:t>
      </w:r>
      <w:r w:rsidRPr="000D6D3D">
        <w:rPr>
          <w:rFonts w:ascii="Times New Roman" w:hAnsi="Times New Roman" w:cs="Times New Roman"/>
          <w:sz w:val="24"/>
          <w:szCs w:val="24"/>
        </w:rPr>
        <w:t xml:space="preserve"> planteamos el objetivo de evaluar la incidencia acumulada (IA) de las sospechas de RAM por el uso de TCZ en pacientes adultos con diagnóstico de COVID-19: trombocitopenia, neutropenia, transaminitis y desarrollo de infección, y determinar además, la causalidad y preventibilidad de éstas. </w:t>
      </w:r>
    </w:p>
    <w:p w:rsidR="008B580F" w:rsidRPr="000D6D3D" w:rsidRDefault="008B580F" w:rsidP="00CF0B2C">
      <w:pPr>
        <w:spacing w:line="360" w:lineRule="auto"/>
        <w:jc w:val="both"/>
        <w:rPr>
          <w:rFonts w:ascii="Times New Roman" w:hAnsi="Times New Roman" w:cs="Times New Roman"/>
          <w:sz w:val="24"/>
          <w:szCs w:val="24"/>
        </w:rPr>
      </w:pPr>
    </w:p>
    <w:p w:rsidR="008D49C0" w:rsidRPr="000D6D3D" w:rsidRDefault="008D49C0" w:rsidP="00CF0B2C">
      <w:pPr>
        <w:spacing w:line="360" w:lineRule="auto"/>
        <w:jc w:val="both"/>
        <w:rPr>
          <w:rFonts w:ascii="Times New Roman" w:hAnsi="Times New Roman" w:cs="Times New Roman"/>
          <w:sz w:val="24"/>
          <w:szCs w:val="24"/>
        </w:rPr>
      </w:pPr>
    </w:p>
    <w:p w:rsidR="008D49C0" w:rsidRPr="000D6D3D" w:rsidRDefault="008D49C0" w:rsidP="00CF0B2C">
      <w:pPr>
        <w:spacing w:line="360" w:lineRule="auto"/>
        <w:jc w:val="both"/>
        <w:rPr>
          <w:rFonts w:ascii="Times New Roman" w:hAnsi="Times New Roman" w:cs="Times New Roman"/>
          <w:sz w:val="24"/>
          <w:szCs w:val="24"/>
        </w:rPr>
      </w:pPr>
    </w:p>
    <w:p w:rsidR="00153FF6" w:rsidRPr="000D6D3D" w:rsidRDefault="00153FF6" w:rsidP="00CF0B2C">
      <w:pPr>
        <w:spacing w:line="360" w:lineRule="auto"/>
        <w:jc w:val="both"/>
        <w:rPr>
          <w:rFonts w:ascii="Times New Roman" w:hAnsi="Times New Roman" w:cs="Times New Roman"/>
          <w:sz w:val="24"/>
          <w:szCs w:val="24"/>
        </w:rPr>
      </w:pPr>
    </w:p>
    <w:p w:rsidR="008B580F" w:rsidRPr="000D6D3D" w:rsidRDefault="008B580F" w:rsidP="00CF0B2C">
      <w:pPr>
        <w:spacing w:line="360" w:lineRule="auto"/>
        <w:jc w:val="both"/>
        <w:rPr>
          <w:rFonts w:ascii="Times New Roman" w:hAnsi="Times New Roman" w:cs="Times New Roman"/>
          <w:sz w:val="24"/>
          <w:szCs w:val="24"/>
        </w:rPr>
      </w:pPr>
    </w:p>
    <w:p w:rsidR="004B0C8F" w:rsidRPr="000D6D3D" w:rsidRDefault="004B0C8F" w:rsidP="00CF0B2C">
      <w:pPr>
        <w:spacing w:line="360" w:lineRule="auto"/>
        <w:jc w:val="both"/>
        <w:rPr>
          <w:rFonts w:ascii="Times New Roman" w:hAnsi="Times New Roman" w:cs="Times New Roman"/>
          <w:sz w:val="24"/>
          <w:szCs w:val="24"/>
        </w:rPr>
      </w:pPr>
    </w:p>
    <w:p w:rsidR="00CA53DE" w:rsidRPr="000D6D3D" w:rsidRDefault="00CA53DE" w:rsidP="00CF0B2C">
      <w:pPr>
        <w:spacing w:line="360" w:lineRule="auto"/>
        <w:jc w:val="both"/>
        <w:rPr>
          <w:rFonts w:ascii="Times New Roman" w:hAnsi="Times New Roman" w:cs="Times New Roman"/>
          <w:sz w:val="24"/>
          <w:szCs w:val="24"/>
        </w:rPr>
      </w:pPr>
    </w:p>
    <w:p w:rsidR="004B0C8F" w:rsidRPr="000D6D3D" w:rsidRDefault="004B0C8F" w:rsidP="00CF0B2C">
      <w:pPr>
        <w:spacing w:line="360" w:lineRule="auto"/>
        <w:jc w:val="both"/>
        <w:rPr>
          <w:rFonts w:ascii="Times New Roman" w:hAnsi="Times New Roman" w:cs="Times New Roman"/>
          <w:sz w:val="24"/>
          <w:szCs w:val="24"/>
        </w:rPr>
      </w:pPr>
    </w:p>
    <w:p w:rsidR="008B580F" w:rsidRPr="000D6D3D" w:rsidRDefault="008B580F" w:rsidP="00CF0B2C">
      <w:pPr>
        <w:spacing w:after="0" w:line="360" w:lineRule="auto"/>
        <w:rPr>
          <w:rFonts w:ascii="Times New Roman" w:hAnsi="Times New Roman" w:cs="Times New Roman"/>
          <w:b/>
          <w:sz w:val="24"/>
          <w:szCs w:val="24"/>
          <w:lang w:val="es-ES"/>
        </w:rPr>
      </w:pPr>
      <w:r w:rsidRPr="000D6D3D">
        <w:rPr>
          <w:rFonts w:ascii="Times New Roman" w:hAnsi="Times New Roman" w:cs="Times New Roman"/>
          <w:b/>
          <w:sz w:val="24"/>
          <w:szCs w:val="24"/>
          <w:lang w:val="es-ES"/>
        </w:rPr>
        <w:lastRenderedPageBreak/>
        <w:t>Material y Métodos:</w:t>
      </w:r>
    </w:p>
    <w:p w:rsidR="008B580F" w:rsidRPr="000D6D3D" w:rsidRDefault="008B580F"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val="es-ES" w:eastAsia="es-ES"/>
        </w:rPr>
      </w:pPr>
    </w:p>
    <w:p w:rsidR="008B580F" w:rsidRPr="000D6D3D" w:rsidRDefault="008B580F"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color w:val="4472C4" w:themeColor="accent5"/>
          <w:sz w:val="24"/>
          <w:szCs w:val="24"/>
          <w:lang w:eastAsia="es-ES"/>
        </w:rPr>
      </w:pPr>
      <w:r w:rsidRPr="000D6D3D">
        <w:rPr>
          <w:rFonts w:ascii="Times New Roman" w:eastAsia="Times New Roman" w:hAnsi="Times New Roman" w:cs="Times New Roman"/>
          <w:color w:val="4472C4" w:themeColor="accent5"/>
          <w:sz w:val="24"/>
          <w:szCs w:val="24"/>
          <w:lang w:val="es-ES" w:eastAsia="es-ES"/>
        </w:rPr>
        <w:t>Estudio de Cohorte no concurrente y descriptivo</w:t>
      </w:r>
      <w:r w:rsidR="00CC3487" w:rsidRPr="000D6D3D">
        <w:rPr>
          <w:rFonts w:ascii="Times New Roman" w:eastAsia="Times New Roman" w:hAnsi="Times New Roman" w:cs="Times New Roman"/>
          <w:color w:val="4472C4" w:themeColor="accent5"/>
          <w:sz w:val="24"/>
          <w:szCs w:val="24"/>
          <w:lang w:val="es-ES" w:eastAsia="es-ES"/>
        </w:rPr>
        <w:t>, que se enmarcó en un proceso in</w:t>
      </w:r>
      <w:r w:rsidR="001E068A" w:rsidRPr="000D6D3D">
        <w:rPr>
          <w:rFonts w:ascii="Times New Roman" w:eastAsia="Times New Roman" w:hAnsi="Times New Roman" w:cs="Times New Roman"/>
          <w:color w:val="4472C4" w:themeColor="accent5"/>
          <w:sz w:val="24"/>
          <w:szCs w:val="24"/>
          <w:lang w:val="es-ES" w:eastAsia="es-ES"/>
        </w:rPr>
        <w:t>stitucional de Farmacovigilancia (FV)</w:t>
      </w:r>
      <w:r w:rsidR="00CC3487" w:rsidRPr="000D6D3D">
        <w:rPr>
          <w:rFonts w:ascii="Times New Roman" w:eastAsia="Times New Roman" w:hAnsi="Times New Roman" w:cs="Times New Roman"/>
          <w:color w:val="4472C4" w:themeColor="accent5"/>
          <w:sz w:val="24"/>
          <w:szCs w:val="24"/>
          <w:lang w:val="es-ES" w:eastAsia="es-ES"/>
        </w:rPr>
        <w:t xml:space="preserve"> activa</w:t>
      </w:r>
      <w:r w:rsidR="008B0307" w:rsidRPr="000D6D3D">
        <w:rPr>
          <w:rFonts w:ascii="Times New Roman" w:eastAsia="Times New Roman" w:hAnsi="Times New Roman" w:cs="Times New Roman"/>
          <w:color w:val="4472C4" w:themeColor="accent5"/>
          <w:sz w:val="24"/>
          <w:szCs w:val="24"/>
          <w:lang w:val="es-ES" w:eastAsia="es-ES"/>
        </w:rPr>
        <w:t xml:space="preserve">. Se escogió esta metodología </w:t>
      </w:r>
      <w:r w:rsidR="008B0307" w:rsidRPr="000D6D3D">
        <w:rPr>
          <w:rFonts w:ascii="Times New Roman" w:hAnsi="Times New Roman" w:cs="Times New Roman"/>
          <w:color w:val="4472C4" w:themeColor="accent5"/>
          <w:sz w:val="24"/>
          <w:szCs w:val="24"/>
        </w:rPr>
        <w:t>debido a las falencias que existen en los programas de notificación voluntaria o FV pasiva [13]</w:t>
      </w:r>
      <w:r w:rsidR="00735F90" w:rsidRPr="000D6D3D">
        <w:rPr>
          <w:rFonts w:ascii="Times New Roman" w:hAnsi="Times New Roman" w:cs="Times New Roman"/>
          <w:color w:val="4472C4" w:themeColor="accent5"/>
          <w:sz w:val="24"/>
          <w:szCs w:val="24"/>
        </w:rPr>
        <w:t>.</w:t>
      </w:r>
      <w:r w:rsidRPr="000D6D3D">
        <w:rPr>
          <w:rFonts w:ascii="Times New Roman" w:eastAsia="Times New Roman" w:hAnsi="Times New Roman" w:cs="Times New Roman"/>
          <w:color w:val="4472C4" w:themeColor="accent5"/>
          <w:sz w:val="24"/>
          <w:szCs w:val="24"/>
          <w:lang w:val="es-ES" w:eastAsia="es-ES"/>
        </w:rPr>
        <w:t xml:space="preserve"> </w:t>
      </w:r>
      <w:r w:rsidR="004A7C79" w:rsidRPr="000D6D3D">
        <w:rPr>
          <w:rFonts w:ascii="Times New Roman" w:eastAsia="Times New Roman" w:hAnsi="Times New Roman" w:cs="Times New Roman"/>
          <w:sz w:val="24"/>
          <w:szCs w:val="24"/>
          <w:lang w:val="es-ES" w:eastAsia="es-ES"/>
        </w:rPr>
        <w:t xml:space="preserve">Incluyó </w:t>
      </w:r>
      <w:r w:rsidRPr="000D6D3D">
        <w:rPr>
          <w:rFonts w:ascii="Times New Roman" w:eastAsia="Times New Roman" w:hAnsi="Times New Roman" w:cs="Times New Roman"/>
          <w:sz w:val="24"/>
          <w:szCs w:val="24"/>
          <w:lang w:val="es-ES" w:eastAsia="es-ES"/>
        </w:rPr>
        <w:t>pacientes mayores de 18 años, ingresados a servicios de hospitalización de adultos del</w:t>
      </w:r>
      <w:r w:rsidRPr="000D6D3D">
        <w:rPr>
          <w:rFonts w:ascii="Times New Roman" w:eastAsia="Times New Roman" w:hAnsi="Times New Roman" w:cs="Times New Roman"/>
          <w:sz w:val="24"/>
          <w:szCs w:val="24"/>
          <w:lang w:eastAsia="es-ES"/>
        </w:rPr>
        <w:t xml:space="preserve"> Hospital Clínico UC-</w:t>
      </w:r>
      <w:proofErr w:type="spellStart"/>
      <w:r w:rsidRPr="000D6D3D">
        <w:rPr>
          <w:rFonts w:ascii="Times New Roman" w:eastAsia="Times New Roman" w:hAnsi="Times New Roman" w:cs="Times New Roman"/>
          <w:sz w:val="24"/>
          <w:szCs w:val="24"/>
          <w:lang w:eastAsia="es-ES"/>
        </w:rPr>
        <w:t>Christus</w:t>
      </w:r>
      <w:proofErr w:type="spellEnd"/>
      <w:r w:rsidRPr="000D6D3D">
        <w:rPr>
          <w:rFonts w:ascii="Times New Roman" w:eastAsia="Times New Roman" w:hAnsi="Times New Roman" w:cs="Times New Roman"/>
          <w:sz w:val="24"/>
          <w:szCs w:val="24"/>
          <w:lang w:eastAsia="es-ES"/>
        </w:rPr>
        <w:t xml:space="preserve">, de Santiago de Chile, </w:t>
      </w:r>
      <w:r w:rsidRPr="000D6D3D">
        <w:rPr>
          <w:rFonts w:ascii="Times New Roman" w:eastAsia="Times New Roman" w:hAnsi="Times New Roman" w:cs="Times New Roman"/>
          <w:sz w:val="24"/>
          <w:szCs w:val="24"/>
          <w:lang w:val="es-ES" w:eastAsia="es-ES"/>
        </w:rPr>
        <w:t xml:space="preserve">con examen PCR positivo o pendiente para COVID-19 y que recibieron al menos una dosis de TCZ, </w:t>
      </w:r>
      <w:r w:rsidRPr="000D6D3D">
        <w:rPr>
          <w:rFonts w:ascii="Times New Roman" w:eastAsia="Times New Roman" w:hAnsi="Times New Roman" w:cs="Times New Roman"/>
          <w:sz w:val="24"/>
          <w:szCs w:val="24"/>
          <w:lang w:eastAsia="es-ES"/>
        </w:rPr>
        <w:t xml:space="preserve">entre los meses de mayo </w:t>
      </w:r>
      <w:r w:rsidR="007A17C6" w:rsidRPr="000D6D3D">
        <w:rPr>
          <w:rFonts w:ascii="Times New Roman" w:eastAsia="Times New Roman" w:hAnsi="Times New Roman" w:cs="Times New Roman"/>
          <w:sz w:val="24"/>
          <w:szCs w:val="24"/>
          <w:lang w:eastAsia="es-ES"/>
        </w:rPr>
        <w:t>y</w:t>
      </w:r>
      <w:r w:rsidRPr="000D6D3D">
        <w:rPr>
          <w:rFonts w:ascii="Times New Roman" w:eastAsia="Times New Roman" w:hAnsi="Times New Roman" w:cs="Times New Roman"/>
          <w:sz w:val="24"/>
          <w:szCs w:val="24"/>
          <w:lang w:eastAsia="es-ES"/>
        </w:rPr>
        <w:t xml:space="preserve"> agosto del 2020.</w:t>
      </w:r>
      <w:r w:rsidR="007529C8" w:rsidRPr="000D6D3D">
        <w:rPr>
          <w:rFonts w:ascii="Times New Roman" w:eastAsia="Times New Roman" w:hAnsi="Times New Roman" w:cs="Times New Roman"/>
          <w:color w:val="4472C4" w:themeColor="accent5"/>
          <w:sz w:val="24"/>
          <w:szCs w:val="24"/>
          <w:lang w:val="es-ES" w:eastAsia="es-ES"/>
        </w:rPr>
        <w:t xml:space="preserve"> Fue considerado como sospecha de RAM a toda alteración o exacerbación de los parámetros de laboratorios posterior a la dosis de TCZ.</w:t>
      </w:r>
    </w:p>
    <w:p w:rsidR="008B580F" w:rsidRPr="000D6D3D" w:rsidRDefault="008B580F"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color w:val="4472C4" w:themeColor="accent5"/>
          <w:sz w:val="24"/>
          <w:szCs w:val="24"/>
          <w:lang w:val="es-ES" w:eastAsia="es-ES"/>
        </w:rPr>
      </w:pPr>
    </w:p>
    <w:p w:rsidR="00843C6A" w:rsidRPr="000D6D3D" w:rsidRDefault="00C15EEF"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color w:val="4472C4" w:themeColor="accent5"/>
          <w:sz w:val="24"/>
          <w:szCs w:val="24"/>
          <w:lang w:val="es-ES" w:eastAsia="es-ES"/>
        </w:rPr>
      </w:pPr>
      <w:r w:rsidRPr="000D6D3D">
        <w:rPr>
          <w:rFonts w:ascii="Times New Roman" w:eastAsia="Times New Roman" w:hAnsi="Times New Roman" w:cs="Times New Roman"/>
          <w:color w:val="4472C4" w:themeColor="accent5"/>
          <w:sz w:val="24"/>
          <w:szCs w:val="24"/>
          <w:lang w:val="es-ES" w:eastAsia="es-ES"/>
        </w:rPr>
        <w:t>Se</w:t>
      </w:r>
      <w:r w:rsidR="0043649E" w:rsidRPr="000D6D3D">
        <w:rPr>
          <w:rFonts w:ascii="Times New Roman" w:eastAsia="Times New Roman" w:hAnsi="Times New Roman" w:cs="Times New Roman"/>
          <w:color w:val="4472C4" w:themeColor="accent5"/>
          <w:sz w:val="24"/>
          <w:szCs w:val="24"/>
          <w:lang w:val="es-ES" w:eastAsia="es-ES"/>
        </w:rPr>
        <w:t xml:space="preserve"> </w:t>
      </w:r>
      <w:r w:rsidRPr="000D6D3D">
        <w:rPr>
          <w:rFonts w:ascii="Times New Roman" w:eastAsia="Times New Roman" w:hAnsi="Times New Roman" w:cs="Times New Roman"/>
          <w:color w:val="4472C4" w:themeColor="accent5"/>
          <w:sz w:val="24"/>
          <w:szCs w:val="24"/>
          <w:lang w:val="es-ES" w:eastAsia="es-ES"/>
        </w:rPr>
        <w:t>estudiaron</w:t>
      </w:r>
      <w:r w:rsidR="0043649E" w:rsidRPr="000D6D3D">
        <w:rPr>
          <w:rFonts w:ascii="Times New Roman" w:eastAsia="Times New Roman" w:hAnsi="Times New Roman" w:cs="Times New Roman"/>
          <w:color w:val="4472C4" w:themeColor="accent5"/>
          <w:sz w:val="24"/>
          <w:szCs w:val="24"/>
          <w:lang w:val="es-ES" w:eastAsia="es-ES"/>
        </w:rPr>
        <w:t xml:space="preserve"> las </w:t>
      </w:r>
      <w:r w:rsidRPr="000D6D3D">
        <w:rPr>
          <w:rFonts w:ascii="Times New Roman" w:eastAsia="Times New Roman" w:hAnsi="Times New Roman" w:cs="Times New Roman"/>
          <w:color w:val="4472C4" w:themeColor="accent5"/>
          <w:sz w:val="24"/>
          <w:szCs w:val="24"/>
          <w:lang w:val="es-ES" w:eastAsia="es-ES"/>
        </w:rPr>
        <w:t xml:space="preserve">RAM: neutropenia, trombocitopenia, transaminitis y desarrollo de infección, </w:t>
      </w:r>
      <w:r w:rsidR="00B36BB8" w:rsidRPr="000D6D3D">
        <w:rPr>
          <w:rFonts w:ascii="Times New Roman" w:eastAsia="Times New Roman" w:hAnsi="Times New Roman" w:cs="Times New Roman"/>
          <w:color w:val="4472C4" w:themeColor="accent5"/>
          <w:sz w:val="24"/>
          <w:szCs w:val="24"/>
          <w:lang w:val="es-ES" w:eastAsia="es-ES"/>
        </w:rPr>
        <w:t>por tratarse de los eventos que</w:t>
      </w:r>
      <w:r w:rsidR="0043649E" w:rsidRPr="000D6D3D">
        <w:rPr>
          <w:rFonts w:ascii="Times New Roman" w:eastAsia="Times New Roman" w:hAnsi="Times New Roman" w:cs="Times New Roman"/>
          <w:color w:val="4472C4" w:themeColor="accent5"/>
          <w:sz w:val="24"/>
          <w:szCs w:val="24"/>
          <w:lang w:val="es-ES" w:eastAsia="es-ES"/>
        </w:rPr>
        <w:t xml:space="preserve"> </w:t>
      </w:r>
      <w:r w:rsidRPr="000D6D3D">
        <w:rPr>
          <w:rFonts w:ascii="Times New Roman" w:eastAsia="Times New Roman" w:hAnsi="Times New Roman" w:cs="Times New Roman"/>
          <w:color w:val="4472C4" w:themeColor="accent5"/>
          <w:sz w:val="24"/>
          <w:szCs w:val="24"/>
          <w:lang w:val="es-ES" w:eastAsia="es-ES"/>
        </w:rPr>
        <w:t xml:space="preserve">con </w:t>
      </w:r>
      <w:r w:rsidR="0043649E" w:rsidRPr="000D6D3D">
        <w:rPr>
          <w:rFonts w:ascii="Times New Roman" w:eastAsia="Times New Roman" w:hAnsi="Times New Roman" w:cs="Times New Roman"/>
          <w:color w:val="4472C4" w:themeColor="accent5"/>
          <w:sz w:val="24"/>
          <w:szCs w:val="24"/>
          <w:lang w:val="es-ES" w:eastAsia="es-ES"/>
        </w:rPr>
        <w:t>mayor frecuencia</w:t>
      </w:r>
      <w:r w:rsidRPr="000D6D3D">
        <w:rPr>
          <w:rFonts w:ascii="Times New Roman" w:eastAsia="Times New Roman" w:hAnsi="Times New Roman" w:cs="Times New Roman"/>
          <w:color w:val="4472C4" w:themeColor="accent5"/>
          <w:sz w:val="24"/>
          <w:szCs w:val="24"/>
          <w:lang w:val="es-ES" w:eastAsia="es-ES"/>
        </w:rPr>
        <w:t xml:space="preserve"> </w:t>
      </w:r>
      <w:r w:rsidR="00B36BB8" w:rsidRPr="000D6D3D">
        <w:rPr>
          <w:rFonts w:ascii="Times New Roman" w:eastAsia="Times New Roman" w:hAnsi="Times New Roman" w:cs="Times New Roman"/>
          <w:color w:val="4472C4" w:themeColor="accent5"/>
          <w:sz w:val="24"/>
          <w:szCs w:val="24"/>
          <w:lang w:val="es-ES" w:eastAsia="es-ES"/>
        </w:rPr>
        <w:t xml:space="preserve">motivan </w:t>
      </w:r>
      <w:r w:rsidRPr="000D6D3D">
        <w:rPr>
          <w:rFonts w:ascii="Times New Roman" w:eastAsia="Times New Roman" w:hAnsi="Times New Roman" w:cs="Times New Roman"/>
          <w:color w:val="4472C4" w:themeColor="accent5"/>
          <w:sz w:val="24"/>
          <w:szCs w:val="24"/>
          <w:lang w:val="es-ES" w:eastAsia="es-ES"/>
        </w:rPr>
        <w:t>la interrupción del tratamiento</w:t>
      </w:r>
      <w:r w:rsidR="00B36BB8" w:rsidRPr="000D6D3D">
        <w:rPr>
          <w:rFonts w:ascii="Times New Roman" w:eastAsia="Times New Roman" w:hAnsi="Times New Roman" w:cs="Times New Roman"/>
          <w:color w:val="4472C4" w:themeColor="accent5"/>
          <w:sz w:val="24"/>
          <w:szCs w:val="24"/>
          <w:lang w:val="es-ES" w:eastAsia="es-ES"/>
        </w:rPr>
        <w:t>, según la ficha técnica</w:t>
      </w:r>
      <w:r w:rsidR="008B580F" w:rsidRPr="000D6D3D">
        <w:rPr>
          <w:rFonts w:ascii="Times New Roman" w:eastAsia="Times New Roman" w:hAnsi="Times New Roman" w:cs="Times New Roman"/>
          <w:color w:val="4472C4" w:themeColor="accent5"/>
          <w:sz w:val="24"/>
          <w:szCs w:val="24"/>
          <w:lang w:val="es-ES" w:eastAsia="es-ES"/>
        </w:rPr>
        <w:t xml:space="preserve">. </w:t>
      </w:r>
      <w:r w:rsidR="00C41213" w:rsidRPr="000D6D3D">
        <w:rPr>
          <w:rFonts w:ascii="Times New Roman" w:eastAsia="Times New Roman" w:hAnsi="Times New Roman" w:cs="Times New Roman"/>
          <w:color w:val="4472C4" w:themeColor="accent5"/>
          <w:sz w:val="24"/>
          <w:szCs w:val="24"/>
          <w:lang w:val="es-ES" w:eastAsia="es-ES"/>
        </w:rPr>
        <w:t>L</w:t>
      </w:r>
      <w:r w:rsidR="001D60E4" w:rsidRPr="000D6D3D">
        <w:rPr>
          <w:rFonts w:ascii="Times New Roman" w:eastAsia="Times New Roman" w:hAnsi="Times New Roman" w:cs="Times New Roman"/>
          <w:color w:val="4472C4" w:themeColor="accent5"/>
          <w:sz w:val="24"/>
          <w:szCs w:val="24"/>
          <w:lang w:val="es-ES" w:eastAsia="es-ES"/>
        </w:rPr>
        <w:t>a perforación intestinal</w:t>
      </w:r>
      <w:r w:rsidR="00910B05" w:rsidRPr="000D6D3D">
        <w:rPr>
          <w:rFonts w:ascii="Times New Roman" w:eastAsia="Times New Roman" w:hAnsi="Times New Roman" w:cs="Times New Roman"/>
          <w:color w:val="4472C4" w:themeColor="accent5"/>
          <w:sz w:val="24"/>
          <w:szCs w:val="24"/>
          <w:lang w:val="es-ES" w:eastAsia="es-ES"/>
        </w:rPr>
        <w:t xml:space="preserve"> (PI)</w:t>
      </w:r>
      <w:r w:rsidR="00C41213" w:rsidRPr="000D6D3D">
        <w:rPr>
          <w:rFonts w:ascii="Times New Roman" w:eastAsia="Times New Roman" w:hAnsi="Times New Roman" w:cs="Times New Roman"/>
          <w:color w:val="4472C4" w:themeColor="accent5"/>
          <w:sz w:val="24"/>
          <w:szCs w:val="24"/>
          <w:lang w:val="es-ES" w:eastAsia="es-ES"/>
        </w:rPr>
        <w:t xml:space="preserve"> no fue evaluada porque</w:t>
      </w:r>
      <w:r w:rsidR="001D60E4" w:rsidRPr="000D6D3D">
        <w:rPr>
          <w:rFonts w:ascii="Times New Roman" w:eastAsia="Times New Roman" w:hAnsi="Times New Roman" w:cs="Times New Roman"/>
          <w:color w:val="4472C4" w:themeColor="accent5"/>
          <w:sz w:val="24"/>
          <w:szCs w:val="24"/>
          <w:lang w:val="es-ES" w:eastAsia="es-ES"/>
        </w:rPr>
        <w:t xml:space="preserve"> es una RAM poco frecuente y asociada al uso prolongado</w:t>
      </w:r>
      <w:r w:rsidR="00910B05" w:rsidRPr="000D6D3D">
        <w:rPr>
          <w:rFonts w:ascii="Times New Roman" w:eastAsia="Times New Roman" w:hAnsi="Times New Roman" w:cs="Times New Roman"/>
          <w:color w:val="4472C4" w:themeColor="accent5"/>
          <w:sz w:val="24"/>
          <w:szCs w:val="24"/>
          <w:lang w:val="es-ES" w:eastAsia="es-ES"/>
        </w:rPr>
        <w:t xml:space="preserve"> en pacientes </w:t>
      </w:r>
      <w:r w:rsidR="00910B05" w:rsidRPr="000D6D3D">
        <w:rPr>
          <w:rFonts w:ascii="Times New Roman" w:hAnsi="Times New Roman" w:cs="Times New Roman"/>
          <w:color w:val="4472C4" w:themeColor="accent5"/>
          <w:sz w:val="24"/>
          <w:szCs w:val="24"/>
          <w:shd w:val="clear" w:color="auto" w:fill="FFFFFF"/>
        </w:rPr>
        <w:t xml:space="preserve">con antecedentes de ulceración intestinal o </w:t>
      </w:r>
      <w:proofErr w:type="spellStart"/>
      <w:r w:rsidR="00910B05" w:rsidRPr="000D6D3D">
        <w:rPr>
          <w:rFonts w:ascii="Times New Roman" w:hAnsi="Times New Roman" w:cs="Times New Roman"/>
          <w:color w:val="4472C4" w:themeColor="accent5"/>
          <w:sz w:val="24"/>
          <w:szCs w:val="24"/>
          <w:shd w:val="clear" w:color="auto" w:fill="FFFFFF"/>
        </w:rPr>
        <w:t>diverticulitis</w:t>
      </w:r>
      <w:proofErr w:type="spellEnd"/>
      <w:r w:rsidR="00910B05" w:rsidRPr="000D6D3D">
        <w:rPr>
          <w:rFonts w:ascii="Times New Roman" w:hAnsi="Times New Roman" w:cs="Times New Roman"/>
          <w:color w:val="4472C4" w:themeColor="accent5"/>
          <w:sz w:val="24"/>
          <w:szCs w:val="24"/>
          <w:shd w:val="clear" w:color="auto" w:fill="FFFFFF"/>
        </w:rPr>
        <w:t xml:space="preserve"> [</w:t>
      </w:r>
      <w:r w:rsidR="00FD289D" w:rsidRPr="000D6D3D">
        <w:rPr>
          <w:rFonts w:ascii="Times New Roman" w:hAnsi="Times New Roman" w:cs="Times New Roman"/>
          <w:color w:val="4472C4" w:themeColor="accent5"/>
          <w:sz w:val="24"/>
          <w:szCs w:val="24"/>
          <w:shd w:val="clear" w:color="auto" w:fill="FFFFFF"/>
        </w:rPr>
        <w:t>1</w:t>
      </w:r>
      <w:r w:rsidR="008B0307" w:rsidRPr="000D6D3D">
        <w:rPr>
          <w:rFonts w:ascii="Times New Roman" w:hAnsi="Times New Roman" w:cs="Times New Roman"/>
          <w:color w:val="4472C4" w:themeColor="accent5"/>
          <w:sz w:val="24"/>
          <w:szCs w:val="24"/>
          <w:shd w:val="clear" w:color="auto" w:fill="FFFFFF"/>
        </w:rPr>
        <w:t>4</w:t>
      </w:r>
      <w:r w:rsidR="00910B05" w:rsidRPr="000D6D3D">
        <w:rPr>
          <w:rFonts w:ascii="Times New Roman" w:hAnsi="Times New Roman" w:cs="Times New Roman"/>
          <w:color w:val="4472C4" w:themeColor="accent5"/>
          <w:sz w:val="24"/>
          <w:szCs w:val="24"/>
          <w:shd w:val="clear" w:color="auto" w:fill="FFFFFF"/>
        </w:rPr>
        <w:t>]</w:t>
      </w:r>
      <w:r w:rsidR="001D60E4" w:rsidRPr="000D6D3D">
        <w:rPr>
          <w:rFonts w:ascii="Times New Roman" w:eastAsia="Times New Roman" w:hAnsi="Times New Roman" w:cs="Times New Roman"/>
          <w:color w:val="4472C4" w:themeColor="accent5"/>
          <w:sz w:val="24"/>
          <w:szCs w:val="24"/>
          <w:lang w:val="es-ES" w:eastAsia="es-ES"/>
        </w:rPr>
        <w:t xml:space="preserve">. </w:t>
      </w:r>
    </w:p>
    <w:p w:rsidR="00C15EEF" w:rsidRPr="000D6D3D" w:rsidRDefault="00C15EEF"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color w:val="4472C4" w:themeColor="accent5"/>
          <w:sz w:val="24"/>
          <w:szCs w:val="24"/>
          <w:lang w:val="es-ES" w:eastAsia="es-ES"/>
        </w:rPr>
      </w:pPr>
    </w:p>
    <w:p w:rsidR="00153FF6" w:rsidRPr="000D6D3D" w:rsidRDefault="001C1F28" w:rsidP="00153FF6">
      <w:pPr>
        <w:overflowPunct w:val="0"/>
        <w:autoSpaceDE w:val="0"/>
        <w:autoSpaceDN w:val="0"/>
        <w:adjustRightInd w:val="0"/>
        <w:spacing w:after="0" w:line="360" w:lineRule="auto"/>
        <w:contextualSpacing/>
        <w:jc w:val="both"/>
        <w:textAlignment w:val="baseline"/>
        <w:rPr>
          <w:rFonts w:ascii="Times New Roman" w:hAnsi="Times New Roman" w:cs="Times New Roman"/>
          <w:sz w:val="24"/>
          <w:szCs w:val="24"/>
        </w:rPr>
      </w:pPr>
      <w:r w:rsidRPr="000D6D3D">
        <w:rPr>
          <w:rFonts w:ascii="Times New Roman" w:eastAsia="Times New Roman" w:hAnsi="Times New Roman" w:cs="Times New Roman"/>
          <w:color w:val="4472C4" w:themeColor="accent5"/>
          <w:sz w:val="24"/>
          <w:szCs w:val="24"/>
          <w:lang w:eastAsia="es-ES"/>
        </w:rPr>
        <w:t xml:space="preserve">Para la </w:t>
      </w:r>
      <w:r w:rsidR="00BE40B3" w:rsidRPr="000D6D3D">
        <w:rPr>
          <w:rFonts w:ascii="Times New Roman" w:eastAsia="Times New Roman" w:hAnsi="Times New Roman" w:cs="Times New Roman"/>
          <w:color w:val="4472C4" w:themeColor="accent5"/>
          <w:sz w:val="24"/>
          <w:szCs w:val="24"/>
          <w:lang w:eastAsia="es-ES"/>
        </w:rPr>
        <w:t>identificación</w:t>
      </w:r>
      <w:r w:rsidRPr="000D6D3D">
        <w:rPr>
          <w:rFonts w:ascii="Times New Roman" w:eastAsia="Times New Roman" w:hAnsi="Times New Roman" w:cs="Times New Roman"/>
          <w:color w:val="4472C4" w:themeColor="accent5"/>
          <w:sz w:val="24"/>
          <w:szCs w:val="24"/>
          <w:lang w:eastAsia="es-ES"/>
        </w:rPr>
        <w:t xml:space="preserve"> de las </w:t>
      </w:r>
      <w:r w:rsidR="00D64491" w:rsidRPr="000D6D3D">
        <w:rPr>
          <w:rFonts w:ascii="Times New Roman" w:eastAsia="Times New Roman" w:hAnsi="Times New Roman" w:cs="Times New Roman"/>
          <w:color w:val="4472C4" w:themeColor="accent5"/>
          <w:sz w:val="24"/>
          <w:szCs w:val="24"/>
          <w:lang w:eastAsia="es-ES"/>
        </w:rPr>
        <w:t xml:space="preserve">sospecha de </w:t>
      </w:r>
      <w:r w:rsidRPr="000D6D3D">
        <w:rPr>
          <w:rFonts w:ascii="Times New Roman" w:eastAsia="Times New Roman" w:hAnsi="Times New Roman" w:cs="Times New Roman"/>
          <w:color w:val="4472C4" w:themeColor="accent5"/>
          <w:sz w:val="24"/>
          <w:szCs w:val="24"/>
          <w:lang w:eastAsia="es-ES"/>
        </w:rPr>
        <w:t xml:space="preserve">RAM, </w:t>
      </w:r>
      <w:r w:rsidR="0096070E" w:rsidRPr="000D6D3D">
        <w:rPr>
          <w:rFonts w:ascii="Times New Roman" w:eastAsia="Times New Roman" w:hAnsi="Times New Roman" w:cs="Times New Roman"/>
          <w:color w:val="4472C4" w:themeColor="accent5"/>
          <w:sz w:val="24"/>
          <w:szCs w:val="24"/>
          <w:lang w:eastAsia="es-ES"/>
        </w:rPr>
        <w:t xml:space="preserve">se revisó de forma sistemática </w:t>
      </w:r>
      <w:r w:rsidRPr="000D6D3D">
        <w:rPr>
          <w:rFonts w:ascii="Times New Roman" w:eastAsia="Times New Roman" w:hAnsi="Times New Roman" w:cs="Times New Roman"/>
          <w:color w:val="4472C4" w:themeColor="accent5"/>
          <w:sz w:val="24"/>
          <w:szCs w:val="24"/>
          <w:lang w:eastAsia="es-ES"/>
        </w:rPr>
        <w:t xml:space="preserve">todos los exámenes durante el periodo de seguimiento. </w:t>
      </w:r>
      <w:r w:rsidR="00843C6A" w:rsidRPr="000D6D3D">
        <w:rPr>
          <w:rFonts w:ascii="Times New Roman" w:eastAsia="Times New Roman" w:hAnsi="Times New Roman" w:cs="Times New Roman"/>
          <w:sz w:val="24"/>
          <w:szCs w:val="24"/>
          <w:lang w:eastAsia="es-ES"/>
        </w:rPr>
        <w:t xml:space="preserve">La evolución clínica y </w:t>
      </w:r>
      <w:r w:rsidR="00D64491" w:rsidRPr="000D6D3D">
        <w:rPr>
          <w:rFonts w:ascii="Times New Roman" w:eastAsia="Times New Roman" w:hAnsi="Times New Roman" w:cs="Times New Roman"/>
          <w:sz w:val="24"/>
          <w:szCs w:val="24"/>
          <w:lang w:eastAsia="es-ES"/>
        </w:rPr>
        <w:t>los</w:t>
      </w:r>
      <w:r w:rsidR="00843C6A" w:rsidRPr="000D6D3D">
        <w:rPr>
          <w:rFonts w:ascii="Times New Roman" w:eastAsia="Times New Roman" w:hAnsi="Times New Roman" w:cs="Times New Roman"/>
          <w:sz w:val="24"/>
          <w:szCs w:val="24"/>
          <w:lang w:eastAsia="es-ES"/>
        </w:rPr>
        <w:t xml:space="preserve"> tratamientos farmacológicos fueron obtenidos a partir de la prescripción médica y </w:t>
      </w:r>
      <w:r w:rsidR="00D64491" w:rsidRPr="000D6D3D">
        <w:rPr>
          <w:rFonts w:ascii="Times New Roman" w:eastAsia="Times New Roman" w:hAnsi="Times New Roman" w:cs="Times New Roman"/>
          <w:sz w:val="24"/>
          <w:szCs w:val="24"/>
          <w:lang w:eastAsia="es-ES"/>
        </w:rPr>
        <w:t>d</w:t>
      </w:r>
      <w:r w:rsidR="00843C6A" w:rsidRPr="000D6D3D">
        <w:rPr>
          <w:rFonts w:ascii="Times New Roman" w:eastAsia="Times New Roman" w:hAnsi="Times New Roman" w:cs="Times New Roman"/>
          <w:sz w:val="24"/>
          <w:szCs w:val="24"/>
          <w:lang w:eastAsia="es-ES"/>
        </w:rPr>
        <w:t xml:space="preserve">el sistema de dispensación del servicio de Farmacia. Los datos de identificación de los sujetos fueron codificados para resguardar la confidencialidad de los mismos. </w:t>
      </w:r>
      <w:r w:rsidR="00B82194" w:rsidRPr="000D6D3D">
        <w:rPr>
          <w:rFonts w:ascii="Times New Roman" w:eastAsia="Times New Roman" w:hAnsi="Times New Roman" w:cs="Times New Roman"/>
          <w:color w:val="4472C4" w:themeColor="accent5"/>
          <w:sz w:val="24"/>
          <w:szCs w:val="24"/>
          <w:lang w:val="es-ES" w:eastAsia="es-ES"/>
        </w:rPr>
        <w:t xml:space="preserve">El tamaño muestral no fue calculado dado la necesidad de incluir a todos los pacientes que recibieran TCZ. </w:t>
      </w:r>
    </w:p>
    <w:p w:rsidR="00153FF6" w:rsidRPr="000D6D3D" w:rsidRDefault="00153FF6" w:rsidP="00843C6A">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es-ES"/>
        </w:rPr>
      </w:pPr>
    </w:p>
    <w:p w:rsidR="00600702" w:rsidRPr="000D6D3D" w:rsidRDefault="008B580F"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color w:val="2F5496" w:themeColor="accent5" w:themeShade="BF"/>
          <w:sz w:val="24"/>
          <w:szCs w:val="24"/>
          <w:lang w:eastAsia="es-ES"/>
        </w:rPr>
      </w:pPr>
      <w:r w:rsidRPr="000D6D3D">
        <w:rPr>
          <w:rFonts w:ascii="Times New Roman" w:eastAsia="Times New Roman" w:hAnsi="Times New Roman" w:cs="Times New Roman"/>
          <w:sz w:val="24"/>
          <w:szCs w:val="24"/>
          <w:lang w:val="es-ES" w:eastAsia="es-ES"/>
        </w:rPr>
        <w:t xml:space="preserve">El grado de severidad de las RAM no infecciosas fue clasificado de acuerdo al </w:t>
      </w:r>
      <w:r w:rsidRPr="000D6D3D">
        <w:rPr>
          <w:rFonts w:ascii="Times New Roman" w:eastAsia="Times New Roman" w:hAnsi="Times New Roman" w:cs="Times New Roman"/>
          <w:sz w:val="24"/>
          <w:szCs w:val="24"/>
          <w:shd w:val="clear" w:color="auto" w:fill="FFFFFF"/>
          <w:lang w:val="es-ES" w:eastAsia="es-ES"/>
        </w:rPr>
        <w:t>CTCAE</w:t>
      </w:r>
      <w:r w:rsidR="00005E6A" w:rsidRPr="000D6D3D">
        <w:rPr>
          <w:rFonts w:ascii="Times New Roman" w:eastAsia="Times New Roman" w:hAnsi="Times New Roman" w:cs="Times New Roman"/>
          <w:sz w:val="24"/>
          <w:szCs w:val="24"/>
          <w:shd w:val="clear" w:color="auto" w:fill="FFFFFF"/>
          <w:lang w:val="es-ES" w:eastAsia="es-ES"/>
        </w:rPr>
        <w:t xml:space="preserve"> v5.</w:t>
      </w:r>
      <w:r w:rsidR="00745E99" w:rsidRPr="000D6D3D">
        <w:rPr>
          <w:rFonts w:ascii="Times New Roman" w:eastAsia="Times New Roman" w:hAnsi="Times New Roman" w:cs="Times New Roman"/>
          <w:sz w:val="24"/>
          <w:szCs w:val="24"/>
          <w:shd w:val="clear" w:color="auto" w:fill="FFFFFF"/>
          <w:lang w:val="es-ES" w:eastAsia="es-ES"/>
        </w:rPr>
        <w:t>0</w:t>
      </w:r>
      <w:r w:rsidRPr="000D6D3D">
        <w:rPr>
          <w:rFonts w:ascii="Times New Roman" w:eastAsia="Times New Roman" w:hAnsi="Times New Roman" w:cs="Times New Roman"/>
          <w:sz w:val="24"/>
          <w:szCs w:val="24"/>
          <w:shd w:val="clear" w:color="auto" w:fill="FFFFFF"/>
          <w:lang w:val="es-ES" w:eastAsia="es-ES"/>
        </w:rPr>
        <w:t xml:space="preserve"> (</w:t>
      </w:r>
      <w:proofErr w:type="spellStart"/>
      <w:r w:rsidRPr="000D6D3D">
        <w:rPr>
          <w:rFonts w:ascii="Times New Roman" w:hAnsi="Times New Roman" w:cs="Times New Roman"/>
          <w:i/>
          <w:sz w:val="24"/>
          <w:szCs w:val="24"/>
        </w:rPr>
        <w:t>Common</w:t>
      </w:r>
      <w:proofErr w:type="spellEnd"/>
      <w:r w:rsidRPr="000D6D3D">
        <w:rPr>
          <w:rFonts w:ascii="Times New Roman" w:hAnsi="Times New Roman" w:cs="Times New Roman"/>
          <w:i/>
          <w:sz w:val="24"/>
          <w:szCs w:val="24"/>
        </w:rPr>
        <w:t xml:space="preserve"> </w:t>
      </w:r>
      <w:proofErr w:type="spellStart"/>
      <w:r w:rsidRPr="000D6D3D">
        <w:rPr>
          <w:rFonts w:ascii="Times New Roman" w:hAnsi="Times New Roman" w:cs="Times New Roman"/>
          <w:i/>
          <w:sz w:val="24"/>
          <w:szCs w:val="24"/>
        </w:rPr>
        <w:t>Terminology</w:t>
      </w:r>
      <w:proofErr w:type="spellEnd"/>
      <w:r w:rsidRPr="000D6D3D">
        <w:rPr>
          <w:rFonts w:ascii="Times New Roman" w:hAnsi="Times New Roman" w:cs="Times New Roman"/>
          <w:i/>
          <w:sz w:val="24"/>
          <w:szCs w:val="24"/>
        </w:rPr>
        <w:t xml:space="preserve"> </w:t>
      </w:r>
      <w:proofErr w:type="spellStart"/>
      <w:r w:rsidRPr="000D6D3D">
        <w:rPr>
          <w:rFonts w:ascii="Times New Roman" w:hAnsi="Times New Roman" w:cs="Times New Roman"/>
          <w:i/>
          <w:sz w:val="24"/>
          <w:szCs w:val="24"/>
        </w:rPr>
        <w:t>Criteria</w:t>
      </w:r>
      <w:proofErr w:type="spellEnd"/>
      <w:r w:rsidRPr="000D6D3D">
        <w:rPr>
          <w:rFonts w:ascii="Times New Roman" w:hAnsi="Times New Roman" w:cs="Times New Roman"/>
          <w:i/>
          <w:sz w:val="24"/>
          <w:szCs w:val="24"/>
        </w:rPr>
        <w:t xml:space="preserve"> </w:t>
      </w:r>
      <w:proofErr w:type="spellStart"/>
      <w:r w:rsidRPr="000D6D3D">
        <w:rPr>
          <w:rFonts w:ascii="Times New Roman" w:hAnsi="Times New Roman" w:cs="Times New Roman"/>
          <w:i/>
          <w:sz w:val="24"/>
          <w:szCs w:val="24"/>
        </w:rPr>
        <w:t>for</w:t>
      </w:r>
      <w:proofErr w:type="spellEnd"/>
      <w:r w:rsidRPr="000D6D3D">
        <w:rPr>
          <w:rFonts w:ascii="Times New Roman" w:hAnsi="Times New Roman" w:cs="Times New Roman"/>
          <w:i/>
          <w:sz w:val="24"/>
          <w:szCs w:val="24"/>
        </w:rPr>
        <w:t xml:space="preserve"> Adverse </w:t>
      </w:r>
      <w:proofErr w:type="spellStart"/>
      <w:r w:rsidRPr="000D6D3D">
        <w:rPr>
          <w:rFonts w:ascii="Times New Roman" w:hAnsi="Times New Roman" w:cs="Times New Roman"/>
          <w:i/>
          <w:sz w:val="24"/>
          <w:szCs w:val="24"/>
        </w:rPr>
        <w:t>Event</w:t>
      </w:r>
      <w:proofErr w:type="spellEnd"/>
      <w:r w:rsidRPr="000D6D3D">
        <w:rPr>
          <w:rFonts w:ascii="Times New Roman" w:hAnsi="Times New Roman" w:cs="Times New Roman"/>
          <w:sz w:val="24"/>
          <w:szCs w:val="24"/>
        </w:rPr>
        <w:t>)</w:t>
      </w:r>
      <w:r w:rsidRPr="000D6D3D">
        <w:rPr>
          <w:rFonts w:ascii="Times New Roman" w:eastAsia="Times New Roman" w:hAnsi="Times New Roman" w:cs="Times New Roman"/>
          <w:sz w:val="24"/>
          <w:szCs w:val="24"/>
          <w:shd w:val="clear" w:color="auto" w:fill="FFFFFF"/>
          <w:lang w:val="es-ES" w:eastAsia="es-ES"/>
        </w:rPr>
        <w:t xml:space="preserve"> [</w:t>
      </w:r>
      <w:r w:rsidR="00FC2F4D" w:rsidRPr="000D6D3D">
        <w:rPr>
          <w:rFonts w:ascii="Times New Roman" w:eastAsia="Times New Roman" w:hAnsi="Times New Roman" w:cs="Times New Roman"/>
          <w:sz w:val="24"/>
          <w:szCs w:val="24"/>
          <w:shd w:val="clear" w:color="auto" w:fill="FFFFFF"/>
          <w:lang w:val="es-ES" w:eastAsia="es-ES"/>
        </w:rPr>
        <w:t>15</w:t>
      </w:r>
      <w:r w:rsidRPr="000D6D3D">
        <w:rPr>
          <w:rFonts w:ascii="Times New Roman" w:eastAsia="Times New Roman" w:hAnsi="Times New Roman" w:cs="Times New Roman"/>
          <w:sz w:val="24"/>
          <w:szCs w:val="24"/>
          <w:shd w:val="clear" w:color="auto" w:fill="FFFFFF"/>
          <w:lang w:val="es-ES" w:eastAsia="es-ES"/>
        </w:rPr>
        <w:t xml:space="preserve">]. El desarrollo de infección fue categorizado como presente o ausente y reportado su tiempo de aparición respecto a la </w:t>
      </w:r>
      <w:r w:rsidR="008362ED" w:rsidRPr="000D6D3D">
        <w:rPr>
          <w:rFonts w:ascii="Times New Roman" w:eastAsia="Times New Roman" w:hAnsi="Times New Roman" w:cs="Times New Roman"/>
          <w:sz w:val="24"/>
          <w:szCs w:val="24"/>
          <w:shd w:val="clear" w:color="auto" w:fill="FFFFFF"/>
          <w:lang w:val="es-ES" w:eastAsia="es-ES"/>
        </w:rPr>
        <w:t>administración</w:t>
      </w:r>
      <w:r w:rsidRPr="000D6D3D">
        <w:rPr>
          <w:rFonts w:ascii="Times New Roman" w:eastAsia="Times New Roman" w:hAnsi="Times New Roman" w:cs="Times New Roman"/>
          <w:sz w:val="24"/>
          <w:szCs w:val="24"/>
          <w:shd w:val="clear" w:color="auto" w:fill="FFFFFF"/>
          <w:lang w:val="es-ES" w:eastAsia="es-ES"/>
        </w:rPr>
        <w:t xml:space="preserve"> de TCZ. Fue evaluado</w:t>
      </w:r>
      <w:r w:rsidRPr="000D6D3D">
        <w:rPr>
          <w:rFonts w:ascii="Times New Roman" w:eastAsia="Times New Roman" w:hAnsi="Times New Roman" w:cs="Times New Roman"/>
          <w:sz w:val="24"/>
          <w:szCs w:val="24"/>
          <w:shd w:val="clear" w:color="auto" w:fill="FFFFFF"/>
        </w:rPr>
        <w:t xml:space="preserve"> como infección presente, cuando el sujeto contaba con un cultivo documentado microbiológicamente y además estuviera en tratamiento antimicrobiano por al menos 72h</w:t>
      </w:r>
      <w:r w:rsidRPr="000D6D3D">
        <w:rPr>
          <w:rFonts w:ascii="Times New Roman" w:eastAsia="Times New Roman" w:hAnsi="Times New Roman" w:cs="Times New Roman"/>
          <w:sz w:val="24"/>
          <w:szCs w:val="24"/>
          <w:shd w:val="clear" w:color="auto" w:fill="FFFFFF"/>
          <w:lang w:val="es-ES" w:eastAsia="es-ES"/>
        </w:rPr>
        <w:t>. N</w:t>
      </w:r>
      <w:r w:rsidRPr="000D6D3D">
        <w:rPr>
          <w:rFonts w:ascii="Times New Roman" w:eastAsia="Times New Roman" w:hAnsi="Times New Roman" w:cs="Times New Roman"/>
          <w:sz w:val="24"/>
          <w:szCs w:val="24"/>
          <w:shd w:val="clear" w:color="auto" w:fill="FFFFFF"/>
        </w:rPr>
        <w:t>o fue considerado como nuevo proceso infeccioso cuando se identificaba en cultivos consecutivos el mismo microrganismo.</w:t>
      </w:r>
      <w:r w:rsidRPr="000D6D3D">
        <w:rPr>
          <w:rFonts w:ascii="Times New Roman" w:eastAsia="Times New Roman" w:hAnsi="Times New Roman" w:cs="Times New Roman"/>
          <w:sz w:val="24"/>
          <w:szCs w:val="24"/>
          <w:lang w:eastAsia="es-ES"/>
        </w:rPr>
        <w:t xml:space="preserve"> </w:t>
      </w:r>
      <w:r w:rsidR="00600702" w:rsidRPr="000D6D3D">
        <w:rPr>
          <w:rFonts w:ascii="Times New Roman" w:eastAsia="Times New Roman" w:hAnsi="Times New Roman" w:cs="Times New Roman"/>
          <w:sz w:val="24"/>
          <w:szCs w:val="24"/>
          <w:lang w:eastAsia="es-ES"/>
        </w:rPr>
        <w:t xml:space="preserve">El periodo de </w:t>
      </w:r>
      <w:r w:rsidR="00600702" w:rsidRPr="000D6D3D">
        <w:rPr>
          <w:rFonts w:ascii="Times New Roman" w:eastAsia="Times New Roman" w:hAnsi="Times New Roman" w:cs="Times New Roman"/>
          <w:sz w:val="24"/>
          <w:szCs w:val="24"/>
          <w:lang w:eastAsia="es-ES"/>
        </w:rPr>
        <w:lastRenderedPageBreak/>
        <w:t xml:space="preserve">seguimiento máximo para las RAM no infeccionas fue de 14 días y de 30 días para las RAM infecciosas. </w:t>
      </w:r>
      <w:r w:rsidR="00600702" w:rsidRPr="000D6D3D">
        <w:rPr>
          <w:rFonts w:ascii="Times New Roman" w:eastAsia="Times New Roman" w:hAnsi="Times New Roman" w:cs="Times New Roman"/>
          <w:color w:val="2F5496" w:themeColor="accent5" w:themeShade="BF"/>
          <w:sz w:val="24"/>
          <w:szCs w:val="24"/>
          <w:lang w:eastAsia="es-ES"/>
        </w:rPr>
        <w:t xml:space="preserve">La evaluación de causalidad y preventibilidad de las sospechas de RAM fue realizado por farmacéuticos clínicos, utilizando el </w:t>
      </w:r>
      <w:r w:rsidR="00600702" w:rsidRPr="000D6D3D">
        <w:rPr>
          <w:rFonts w:ascii="Times New Roman" w:eastAsia="Times New Roman" w:hAnsi="Times New Roman" w:cs="Times New Roman"/>
          <w:color w:val="2F5496" w:themeColor="accent5" w:themeShade="BF"/>
          <w:sz w:val="24"/>
          <w:szCs w:val="24"/>
          <w:shd w:val="clear" w:color="auto" w:fill="FFFFFF"/>
          <w:lang w:val="es-ES" w:eastAsia="es-ES"/>
        </w:rPr>
        <w:t xml:space="preserve">Algoritmo de Naranjo y los criterios de </w:t>
      </w:r>
      <w:proofErr w:type="spellStart"/>
      <w:r w:rsidR="00600702" w:rsidRPr="000D6D3D">
        <w:rPr>
          <w:rFonts w:ascii="Times New Roman" w:eastAsia="Times New Roman" w:hAnsi="Times New Roman" w:cs="Times New Roman"/>
          <w:color w:val="2F5496" w:themeColor="accent5" w:themeShade="BF"/>
          <w:sz w:val="24"/>
          <w:szCs w:val="24"/>
          <w:shd w:val="clear" w:color="auto" w:fill="FFFFFF"/>
          <w:lang w:val="es-ES" w:eastAsia="es-ES"/>
        </w:rPr>
        <w:t>Schumock</w:t>
      </w:r>
      <w:proofErr w:type="spellEnd"/>
      <w:r w:rsidR="00600702" w:rsidRPr="000D6D3D">
        <w:rPr>
          <w:rFonts w:ascii="Times New Roman" w:eastAsia="Times New Roman" w:hAnsi="Times New Roman" w:cs="Times New Roman"/>
          <w:color w:val="2F5496" w:themeColor="accent5" w:themeShade="BF"/>
          <w:sz w:val="24"/>
          <w:szCs w:val="24"/>
          <w:shd w:val="clear" w:color="auto" w:fill="FFFFFF"/>
          <w:lang w:val="es-ES" w:eastAsia="es-ES"/>
        </w:rPr>
        <w:t xml:space="preserve"> &amp; </w:t>
      </w:r>
      <w:proofErr w:type="spellStart"/>
      <w:r w:rsidR="00600702" w:rsidRPr="000D6D3D">
        <w:rPr>
          <w:rFonts w:ascii="Times New Roman" w:eastAsia="Times New Roman" w:hAnsi="Times New Roman" w:cs="Times New Roman"/>
          <w:color w:val="2F5496" w:themeColor="accent5" w:themeShade="BF"/>
          <w:sz w:val="24"/>
          <w:szCs w:val="24"/>
          <w:shd w:val="clear" w:color="auto" w:fill="FFFFFF"/>
          <w:lang w:val="es-ES" w:eastAsia="es-ES"/>
        </w:rPr>
        <w:t>Thornton</w:t>
      </w:r>
      <w:proofErr w:type="spellEnd"/>
      <w:r w:rsidR="00600702" w:rsidRPr="000D6D3D">
        <w:rPr>
          <w:rFonts w:ascii="Times New Roman" w:eastAsia="Times New Roman" w:hAnsi="Times New Roman" w:cs="Times New Roman"/>
          <w:color w:val="2F5496" w:themeColor="accent5" w:themeShade="BF"/>
          <w:sz w:val="24"/>
          <w:szCs w:val="24"/>
          <w:shd w:val="clear" w:color="auto" w:fill="FFFFFF"/>
          <w:lang w:val="es-ES" w:eastAsia="es-ES"/>
        </w:rPr>
        <w:t xml:space="preserve"> modificados</w:t>
      </w:r>
      <w:r w:rsidR="00600702" w:rsidRPr="000D6D3D">
        <w:rPr>
          <w:rFonts w:ascii="Times New Roman" w:eastAsia="Times New Roman" w:hAnsi="Times New Roman" w:cs="Times New Roman"/>
          <w:color w:val="2F5496" w:themeColor="accent5" w:themeShade="BF"/>
          <w:sz w:val="24"/>
          <w:szCs w:val="24"/>
          <w:lang w:val="es-ES" w:eastAsia="es-ES"/>
        </w:rPr>
        <w:t xml:space="preserve"> [</w:t>
      </w:r>
      <w:r w:rsidR="00CF6AC9" w:rsidRPr="000D6D3D">
        <w:rPr>
          <w:rFonts w:ascii="Times New Roman" w:eastAsia="Times New Roman" w:hAnsi="Times New Roman" w:cs="Times New Roman"/>
          <w:color w:val="2F5496" w:themeColor="accent5" w:themeShade="BF"/>
          <w:sz w:val="24"/>
          <w:szCs w:val="24"/>
          <w:lang w:val="es-ES" w:eastAsia="es-ES"/>
        </w:rPr>
        <w:t>16</w:t>
      </w:r>
      <w:r w:rsidR="005D10B9" w:rsidRPr="000D6D3D">
        <w:rPr>
          <w:rFonts w:ascii="Times New Roman" w:eastAsia="Times New Roman" w:hAnsi="Times New Roman" w:cs="Times New Roman"/>
          <w:color w:val="2F5496" w:themeColor="accent5" w:themeShade="BF"/>
          <w:sz w:val="24"/>
          <w:szCs w:val="24"/>
          <w:lang w:val="es-ES" w:eastAsia="es-ES"/>
        </w:rPr>
        <w:t>,</w:t>
      </w:r>
      <w:r w:rsidR="00CF6AC9" w:rsidRPr="000D6D3D">
        <w:rPr>
          <w:rFonts w:ascii="Times New Roman" w:eastAsia="Times New Roman" w:hAnsi="Times New Roman" w:cs="Times New Roman"/>
          <w:color w:val="2F5496" w:themeColor="accent5" w:themeShade="BF"/>
          <w:sz w:val="24"/>
          <w:szCs w:val="24"/>
          <w:lang w:val="es-ES" w:eastAsia="es-ES"/>
        </w:rPr>
        <w:t>17</w:t>
      </w:r>
      <w:r w:rsidR="00600702" w:rsidRPr="000D6D3D">
        <w:rPr>
          <w:rFonts w:ascii="Times New Roman" w:eastAsia="Times New Roman" w:hAnsi="Times New Roman" w:cs="Times New Roman"/>
          <w:color w:val="2F5496" w:themeColor="accent5" w:themeShade="BF"/>
          <w:sz w:val="24"/>
          <w:szCs w:val="24"/>
          <w:lang w:val="es-ES" w:eastAsia="es-ES"/>
        </w:rPr>
        <w:t>].</w:t>
      </w:r>
      <w:r w:rsidR="00355B4B" w:rsidRPr="000D6D3D">
        <w:rPr>
          <w:rFonts w:ascii="Times New Roman" w:eastAsia="Times New Roman" w:hAnsi="Times New Roman" w:cs="Times New Roman"/>
          <w:color w:val="2F5496" w:themeColor="accent5" w:themeShade="BF"/>
          <w:sz w:val="24"/>
          <w:szCs w:val="24"/>
          <w:lang w:val="es-ES" w:eastAsia="es-ES"/>
        </w:rPr>
        <w:t xml:space="preserve"> En casos de discrepancias, se consultó al médico tratante.</w:t>
      </w:r>
    </w:p>
    <w:p w:rsidR="00E63859" w:rsidRPr="000D6D3D" w:rsidRDefault="00E63859" w:rsidP="00CF0B2C">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val="es-ES" w:eastAsia="es-ES"/>
        </w:rPr>
      </w:pPr>
    </w:p>
    <w:p w:rsidR="0096070E" w:rsidRPr="000D6D3D" w:rsidRDefault="008B580F" w:rsidP="0096070E">
      <w:pPr>
        <w:spacing w:after="0" w:line="360" w:lineRule="auto"/>
        <w:jc w:val="both"/>
        <w:rPr>
          <w:rFonts w:ascii="Times New Roman" w:eastAsia="Times New Roman" w:hAnsi="Times New Roman" w:cs="Times New Roman"/>
          <w:sz w:val="24"/>
          <w:szCs w:val="24"/>
          <w:shd w:val="clear" w:color="auto" w:fill="FFFFFF"/>
        </w:rPr>
      </w:pPr>
      <w:r w:rsidRPr="000D6D3D">
        <w:rPr>
          <w:rFonts w:ascii="Times New Roman" w:eastAsia="Times New Roman" w:hAnsi="Times New Roman" w:cs="Times New Roman"/>
          <w:sz w:val="24"/>
          <w:szCs w:val="24"/>
          <w:shd w:val="clear" w:color="auto" w:fill="FFFFFF"/>
        </w:rPr>
        <w:t xml:space="preserve">La incidencia acumulada (IA) global y por cada tipo de RAM fue expresada como porcentaje con un IC95%. </w:t>
      </w:r>
      <w:r w:rsidRPr="000D6D3D">
        <w:rPr>
          <w:rFonts w:ascii="Times New Roman" w:hAnsi="Times New Roman" w:cs="Times New Roman"/>
          <w:sz w:val="24"/>
          <w:szCs w:val="24"/>
          <w:lang w:val="es-ES"/>
        </w:rPr>
        <w:t xml:space="preserve">A pesar que la indicación de </w:t>
      </w:r>
      <w:r w:rsidR="00005E6A" w:rsidRPr="000D6D3D">
        <w:rPr>
          <w:rFonts w:ascii="Times New Roman" w:hAnsi="Times New Roman" w:cs="Times New Roman"/>
          <w:sz w:val="24"/>
          <w:szCs w:val="24"/>
          <w:lang w:val="es-ES"/>
        </w:rPr>
        <w:t>TCZ</w:t>
      </w:r>
      <w:r w:rsidRPr="000D6D3D">
        <w:rPr>
          <w:rFonts w:ascii="Times New Roman" w:hAnsi="Times New Roman" w:cs="Times New Roman"/>
          <w:sz w:val="24"/>
          <w:szCs w:val="24"/>
          <w:lang w:val="es-ES"/>
        </w:rPr>
        <w:t xml:space="preserve"> en COVID-19 </w:t>
      </w:r>
      <w:r w:rsidR="004D702D" w:rsidRPr="000D6D3D">
        <w:rPr>
          <w:rFonts w:ascii="Times New Roman" w:hAnsi="Times New Roman" w:cs="Times New Roman"/>
          <w:sz w:val="24"/>
          <w:szCs w:val="24"/>
          <w:lang w:val="es-ES"/>
        </w:rPr>
        <w:t>fue</w:t>
      </w:r>
      <w:r w:rsidRPr="000D6D3D">
        <w:rPr>
          <w:rFonts w:ascii="Times New Roman" w:hAnsi="Times New Roman" w:cs="Times New Roman"/>
          <w:sz w:val="24"/>
          <w:szCs w:val="24"/>
          <w:lang w:val="es-ES"/>
        </w:rPr>
        <w:t xml:space="preserve"> </w:t>
      </w:r>
      <w:r w:rsidRPr="000D6D3D">
        <w:rPr>
          <w:rFonts w:ascii="Times New Roman" w:hAnsi="Times New Roman" w:cs="Times New Roman"/>
          <w:i/>
          <w:sz w:val="24"/>
          <w:szCs w:val="24"/>
          <w:lang w:val="es-ES"/>
        </w:rPr>
        <w:t>off-</w:t>
      </w:r>
      <w:proofErr w:type="spellStart"/>
      <w:r w:rsidRPr="000D6D3D">
        <w:rPr>
          <w:rFonts w:ascii="Times New Roman" w:hAnsi="Times New Roman" w:cs="Times New Roman"/>
          <w:i/>
          <w:sz w:val="24"/>
          <w:szCs w:val="24"/>
          <w:lang w:val="es-ES"/>
        </w:rPr>
        <w:t>label</w:t>
      </w:r>
      <w:proofErr w:type="spellEnd"/>
      <w:r w:rsidRPr="000D6D3D">
        <w:rPr>
          <w:rFonts w:ascii="Times New Roman" w:hAnsi="Times New Roman" w:cs="Times New Roman"/>
          <w:sz w:val="24"/>
          <w:szCs w:val="24"/>
          <w:lang w:val="es-ES"/>
        </w:rPr>
        <w:t>, para esta investigación se consideró como apropiada al momento de realizar la</w:t>
      </w:r>
      <w:r w:rsidR="0096070E" w:rsidRPr="000D6D3D">
        <w:rPr>
          <w:rFonts w:ascii="Times New Roman" w:hAnsi="Times New Roman" w:cs="Times New Roman"/>
          <w:sz w:val="24"/>
          <w:szCs w:val="24"/>
          <w:lang w:val="es-ES"/>
        </w:rPr>
        <w:t xml:space="preserve"> evaluación de preventibilidad.</w:t>
      </w:r>
      <w:r w:rsidR="0096070E" w:rsidRPr="000D6D3D">
        <w:rPr>
          <w:rFonts w:ascii="Times New Roman" w:eastAsia="Times New Roman" w:hAnsi="Times New Roman" w:cs="Times New Roman"/>
          <w:sz w:val="24"/>
          <w:szCs w:val="24"/>
          <w:shd w:val="clear" w:color="auto" w:fill="FFFFFF"/>
        </w:rPr>
        <w:t xml:space="preserve"> Las variables categóricas fueron expresadas como frecuencia y porcentaje, y las variables cuantitativas </w:t>
      </w:r>
      <w:r w:rsidR="0096070E" w:rsidRPr="000D6D3D">
        <w:rPr>
          <w:rFonts w:ascii="Times New Roman" w:eastAsia="Times New Roman" w:hAnsi="Times New Roman" w:cs="Times New Roman"/>
          <w:color w:val="4472C4" w:themeColor="accent5"/>
          <w:sz w:val="24"/>
          <w:szCs w:val="24"/>
          <w:shd w:val="clear" w:color="auto" w:fill="FFFFFF"/>
        </w:rPr>
        <w:t>con distribución normal</w:t>
      </w:r>
      <w:r w:rsidR="0096070E" w:rsidRPr="000D6D3D">
        <w:rPr>
          <w:rFonts w:ascii="Times New Roman" w:eastAsia="Times New Roman" w:hAnsi="Times New Roman" w:cs="Times New Roman"/>
          <w:sz w:val="24"/>
          <w:szCs w:val="24"/>
          <w:shd w:val="clear" w:color="auto" w:fill="FFFFFF"/>
        </w:rPr>
        <w:t xml:space="preserve"> fueron expresadas en media </w:t>
      </w:r>
      <w:r w:rsidR="0096070E" w:rsidRPr="000D6D3D">
        <w:rPr>
          <w:rFonts w:ascii="Times New Roman" w:eastAsia="Times New Roman" w:hAnsi="Times New Roman" w:cs="Times New Roman"/>
          <w:sz w:val="24"/>
          <w:szCs w:val="24"/>
          <w:u w:val="single"/>
          <w:shd w:val="clear" w:color="auto" w:fill="FFFFFF"/>
        </w:rPr>
        <w:t>+</w:t>
      </w:r>
      <w:r w:rsidR="0096070E" w:rsidRPr="000D6D3D">
        <w:rPr>
          <w:rFonts w:ascii="Times New Roman" w:eastAsia="Times New Roman" w:hAnsi="Times New Roman" w:cs="Times New Roman"/>
          <w:sz w:val="24"/>
          <w:szCs w:val="24"/>
          <w:shd w:val="clear" w:color="auto" w:fill="FFFFFF"/>
        </w:rPr>
        <w:t xml:space="preserve"> DE, o mediana y RIQ, </w:t>
      </w:r>
      <w:r w:rsidR="0096070E" w:rsidRPr="000D6D3D">
        <w:rPr>
          <w:rFonts w:ascii="Times New Roman" w:eastAsia="Times New Roman" w:hAnsi="Times New Roman" w:cs="Times New Roman"/>
          <w:color w:val="4472C4" w:themeColor="accent5"/>
          <w:sz w:val="24"/>
          <w:szCs w:val="24"/>
          <w:shd w:val="clear" w:color="auto" w:fill="FFFFFF"/>
        </w:rPr>
        <w:t>cuando no distribuían normal</w:t>
      </w:r>
      <w:r w:rsidR="0096070E" w:rsidRPr="000D6D3D">
        <w:rPr>
          <w:rFonts w:ascii="Times New Roman" w:eastAsia="Times New Roman" w:hAnsi="Times New Roman" w:cs="Times New Roman"/>
          <w:sz w:val="24"/>
          <w:szCs w:val="24"/>
          <w:shd w:val="clear" w:color="auto" w:fill="FFFFFF"/>
        </w:rPr>
        <w:t xml:space="preserve">. </w:t>
      </w:r>
    </w:p>
    <w:p w:rsidR="0096070E" w:rsidRPr="000D6D3D" w:rsidRDefault="0096070E" w:rsidP="0096070E">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val="es-ES" w:eastAsia="es-ES"/>
        </w:rPr>
      </w:pPr>
    </w:p>
    <w:p w:rsidR="0096070E" w:rsidRPr="000D6D3D" w:rsidRDefault="0096070E" w:rsidP="0096070E">
      <w:pPr>
        <w:overflowPunct w:val="0"/>
        <w:autoSpaceDE w:val="0"/>
        <w:autoSpaceDN w:val="0"/>
        <w:adjustRightInd w:val="0"/>
        <w:spacing w:after="0" w:line="360" w:lineRule="auto"/>
        <w:contextualSpacing/>
        <w:jc w:val="both"/>
        <w:textAlignment w:val="baseline"/>
        <w:rPr>
          <w:rFonts w:ascii="Times New Roman" w:hAnsi="Times New Roman" w:cs="Times New Roman"/>
          <w:sz w:val="24"/>
          <w:szCs w:val="24"/>
        </w:rPr>
      </w:pPr>
      <w:r w:rsidRPr="000D6D3D">
        <w:rPr>
          <w:rFonts w:ascii="Times New Roman" w:eastAsia="Times New Roman" w:hAnsi="Times New Roman" w:cs="Times New Roman"/>
          <w:sz w:val="24"/>
          <w:szCs w:val="24"/>
          <w:lang w:val="es-ES" w:eastAsia="es-ES"/>
        </w:rPr>
        <w:t xml:space="preserve">Nuestro estudio contó </w:t>
      </w:r>
      <w:r w:rsidRPr="000D6D3D">
        <w:rPr>
          <w:rFonts w:ascii="Times New Roman" w:eastAsia="Times New Roman" w:hAnsi="Times New Roman" w:cs="Times New Roman"/>
          <w:sz w:val="24"/>
          <w:szCs w:val="24"/>
          <w:lang w:eastAsia="es-ES"/>
        </w:rPr>
        <w:t>con la aprobación del comité de ética PUC y con dispensa de consentimiento informado. Todas las sospechas de RAM fueron notificadas al Instituto de Salud Pública de Chile.</w:t>
      </w:r>
      <w:r w:rsidRPr="000D6D3D">
        <w:rPr>
          <w:rFonts w:ascii="Times New Roman" w:eastAsia="Times New Roman" w:hAnsi="Times New Roman" w:cs="Times New Roman"/>
          <w:sz w:val="24"/>
          <w:szCs w:val="24"/>
          <w:shd w:val="clear" w:color="auto" w:fill="FFFFFF"/>
        </w:rPr>
        <w:t xml:space="preserve"> Para la redacción del manuscrito se consideró la iniciativa STROBE</w:t>
      </w:r>
      <w:r w:rsidRPr="000D6D3D">
        <w:rPr>
          <w:rFonts w:ascii="Times New Roman" w:hAnsi="Times New Roman" w:cs="Times New Roman"/>
          <w:i/>
          <w:iCs/>
          <w:sz w:val="24"/>
          <w:szCs w:val="24"/>
        </w:rPr>
        <w:t xml:space="preserve"> </w:t>
      </w:r>
      <w:r w:rsidRPr="000D6D3D">
        <w:rPr>
          <w:rFonts w:ascii="Times New Roman" w:hAnsi="Times New Roman" w:cs="Times New Roman"/>
          <w:iCs/>
          <w:sz w:val="24"/>
          <w:szCs w:val="24"/>
        </w:rPr>
        <w:t>[18].</w:t>
      </w:r>
    </w:p>
    <w:p w:rsidR="00E63859" w:rsidRPr="000D6D3D" w:rsidRDefault="00E63859" w:rsidP="00CF0B2C">
      <w:pPr>
        <w:overflowPunct w:val="0"/>
        <w:autoSpaceDE w:val="0"/>
        <w:autoSpaceDN w:val="0"/>
        <w:adjustRightInd w:val="0"/>
        <w:spacing w:after="0" w:line="360" w:lineRule="auto"/>
        <w:contextualSpacing/>
        <w:jc w:val="both"/>
        <w:textAlignment w:val="baseline"/>
        <w:rPr>
          <w:rFonts w:ascii="Times New Roman" w:hAnsi="Times New Roman" w:cs="Times New Roman"/>
          <w:sz w:val="24"/>
          <w:szCs w:val="24"/>
          <w:lang w:val="es-ES"/>
        </w:rPr>
      </w:pPr>
    </w:p>
    <w:p w:rsidR="008B580F" w:rsidRPr="000D6D3D" w:rsidRDefault="008B580F" w:rsidP="00CF0B2C">
      <w:pPr>
        <w:spacing w:after="0" w:line="360" w:lineRule="auto"/>
        <w:rPr>
          <w:rFonts w:ascii="Times New Roman" w:hAnsi="Times New Roman" w:cs="Times New Roman"/>
          <w:sz w:val="24"/>
          <w:szCs w:val="24"/>
        </w:rPr>
      </w:pPr>
    </w:p>
    <w:p w:rsidR="008B580F" w:rsidRPr="000D6D3D" w:rsidRDefault="008B580F" w:rsidP="00CF0B2C">
      <w:pPr>
        <w:spacing w:line="360" w:lineRule="auto"/>
        <w:jc w:val="both"/>
        <w:rPr>
          <w:rFonts w:ascii="Times New Roman" w:hAnsi="Times New Roman" w:cs="Times New Roman"/>
          <w:sz w:val="24"/>
          <w:szCs w:val="24"/>
        </w:rPr>
      </w:pPr>
    </w:p>
    <w:p w:rsidR="008B580F" w:rsidRPr="000D6D3D" w:rsidRDefault="008B580F" w:rsidP="00CF0B2C">
      <w:pPr>
        <w:spacing w:line="360" w:lineRule="auto"/>
        <w:jc w:val="both"/>
        <w:rPr>
          <w:rFonts w:ascii="Times New Roman" w:hAnsi="Times New Roman" w:cs="Times New Roman"/>
          <w:sz w:val="24"/>
          <w:szCs w:val="24"/>
        </w:rPr>
      </w:pPr>
    </w:p>
    <w:p w:rsidR="0042766B" w:rsidRPr="000D6D3D" w:rsidRDefault="0042766B" w:rsidP="00CF0B2C">
      <w:pPr>
        <w:spacing w:after="0" w:line="360" w:lineRule="auto"/>
        <w:rPr>
          <w:rFonts w:ascii="Times New Roman" w:hAnsi="Times New Roman" w:cs="Times New Roman"/>
          <w:b/>
          <w:sz w:val="24"/>
          <w:szCs w:val="24"/>
          <w:lang w:val="es-ES"/>
        </w:rPr>
      </w:pPr>
    </w:p>
    <w:p w:rsidR="0042766B" w:rsidRPr="000D6D3D" w:rsidRDefault="0042766B" w:rsidP="00CF0B2C">
      <w:pPr>
        <w:spacing w:after="0" w:line="360" w:lineRule="auto"/>
        <w:rPr>
          <w:rFonts w:ascii="Times New Roman" w:hAnsi="Times New Roman" w:cs="Times New Roman"/>
          <w:b/>
          <w:sz w:val="24"/>
          <w:szCs w:val="24"/>
          <w:lang w:val="es-ES"/>
        </w:rPr>
      </w:pPr>
    </w:p>
    <w:p w:rsidR="0042766B" w:rsidRPr="000D6D3D" w:rsidRDefault="0042766B" w:rsidP="00CF0B2C">
      <w:pPr>
        <w:spacing w:after="0" w:line="360" w:lineRule="auto"/>
        <w:rPr>
          <w:rFonts w:ascii="Times New Roman" w:hAnsi="Times New Roman" w:cs="Times New Roman"/>
          <w:b/>
          <w:sz w:val="24"/>
          <w:szCs w:val="24"/>
          <w:lang w:val="es-ES"/>
        </w:rPr>
      </w:pPr>
    </w:p>
    <w:p w:rsidR="006D5195" w:rsidRPr="000D6D3D" w:rsidRDefault="006D5195" w:rsidP="00CF0B2C">
      <w:pPr>
        <w:spacing w:after="0" w:line="360" w:lineRule="auto"/>
        <w:rPr>
          <w:rFonts w:ascii="Times New Roman" w:hAnsi="Times New Roman" w:cs="Times New Roman"/>
          <w:b/>
          <w:sz w:val="24"/>
          <w:szCs w:val="24"/>
          <w:lang w:val="es-ES"/>
        </w:rPr>
      </w:pPr>
    </w:p>
    <w:p w:rsidR="0042766B" w:rsidRPr="000D6D3D" w:rsidRDefault="0042766B" w:rsidP="00CF0B2C">
      <w:pPr>
        <w:spacing w:after="0" w:line="360" w:lineRule="auto"/>
        <w:rPr>
          <w:rFonts w:ascii="Times New Roman" w:hAnsi="Times New Roman" w:cs="Times New Roman"/>
          <w:b/>
          <w:sz w:val="24"/>
          <w:szCs w:val="24"/>
          <w:lang w:val="es-ES"/>
        </w:rPr>
      </w:pPr>
    </w:p>
    <w:p w:rsidR="0042766B" w:rsidRPr="000D6D3D" w:rsidRDefault="0042766B" w:rsidP="00CF0B2C">
      <w:pPr>
        <w:spacing w:after="0" w:line="360" w:lineRule="auto"/>
        <w:rPr>
          <w:rFonts w:ascii="Times New Roman" w:hAnsi="Times New Roman" w:cs="Times New Roman"/>
          <w:b/>
          <w:sz w:val="24"/>
          <w:szCs w:val="24"/>
          <w:lang w:val="es-ES"/>
        </w:rPr>
      </w:pPr>
    </w:p>
    <w:p w:rsidR="004C74D5" w:rsidRPr="000D6D3D" w:rsidRDefault="004C74D5" w:rsidP="00CF0B2C">
      <w:pPr>
        <w:spacing w:after="0" w:line="360" w:lineRule="auto"/>
        <w:rPr>
          <w:rFonts w:ascii="Times New Roman" w:hAnsi="Times New Roman" w:cs="Times New Roman"/>
          <w:b/>
          <w:sz w:val="24"/>
          <w:szCs w:val="24"/>
          <w:lang w:val="es-ES"/>
        </w:rPr>
      </w:pPr>
    </w:p>
    <w:p w:rsidR="004C74D5" w:rsidRPr="000D6D3D" w:rsidRDefault="004C74D5" w:rsidP="00CF0B2C">
      <w:pPr>
        <w:spacing w:after="0" w:line="360" w:lineRule="auto"/>
        <w:rPr>
          <w:rFonts w:ascii="Times New Roman" w:hAnsi="Times New Roman" w:cs="Times New Roman"/>
          <w:b/>
          <w:sz w:val="24"/>
          <w:szCs w:val="24"/>
          <w:lang w:val="es-ES"/>
        </w:rPr>
      </w:pPr>
    </w:p>
    <w:p w:rsidR="004C74D5" w:rsidRPr="000D6D3D" w:rsidRDefault="004C74D5" w:rsidP="00CF0B2C">
      <w:pPr>
        <w:spacing w:after="0" w:line="360" w:lineRule="auto"/>
        <w:rPr>
          <w:rFonts w:ascii="Times New Roman" w:hAnsi="Times New Roman" w:cs="Times New Roman"/>
          <w:b/>
          <w:sz w:val="24"/>
          <w:szCs w:val="24"/>
          <w:lang w:val="es-ES"/>
        </w:rPr>
      </w:pPr>
    </w:p>
    <w:p w:rsidR="008B580F" w:rsidRPr="000D6D3D" w:rsidRDefault="008B580F" w:rsidP="00CF0B2C">
      <w:pPr>
        <w:spacing w:after="0" w:line="360" w:lineRule="auto"/>
        <w:rPr>
          <w:rFonts w:ascii="Times New Roman" w:hAnsi="Times New Roman" w:cs="Times New Roman"/>
          <w:b/>
          <w:sz w:val="24"/>
          <w:szCs w:val="24"/>
          <w:lang w:val="es-ES"/>
        </w:rPr>
      </w:pPr>
      <w:r w:rsidRPr="000D6D3D">
        <w:rPr>
          <w:rFonts w:ascii="Times New Roman" w:hAnsi="Times New Roman" w:cs="Times New Roman"/>
          <w:b/>
          <w:sz w:val="24"/>
          <w:szCs w:val="24"/>
          <w:lang w:val="es-ES"/>
        </w:rPr>
        <w:lastRenderedPageBreak/>
        <w:t>Resultados</w:t>
      </w:r>
    </w:p>
    <w:p w:rsidR="008B580F" w:rsidRPr="000D6D3D" w:rsidRDefault="008B580F" w:rsidP="00CF0B2C">
      <w:pPr>
        <w:spacing w:after="0" w:line="360" w:lineRule="auto"/>
        <w:rPr>
          <w:rFonts w:ascii="Times New Roman" w:hAnsi="Times New Roman" w:cs="Times New Roman"/>
          <w:sz w:val="24"/>
          <w:szCs w:val="24"/>
          <w:lang w:val="es-ES"/>
        </w:rPr>
      </w:pPr>
    </w:p>
    <w:p w:rsidR="008B580F" w:rsidRPr="006777D2" w:rsidRDefault="008B580F" w:rsidP="00CF0B2C">
      <w:pPr>
        <w:spacing w:after="0" w:line="360" w:lineRule="auto"/>
        <w:jc w:val="both"/>
        <w:rPr>
          <w:rFonts w:ascii="Times New Roman" w:hAnsi="Times New Roman" w:cs="Times New Roman"/>
          <w:color w:val="4472C4" w:themeColor="accent5"/>
          <w:sz w:val="24"/>
          <w:szCs w:val="24"/>
          <w:lang w:val="es-ES"/>
        </w:rPr>
      </w:pPr>
      <w:r w:rsidRPr="000D6D3D">
        <w:rPr>
          <w:rFonts w:ascii="Times New Roman" w:hAnsi="Times New Roman" w:cs="Times New Roman"/>
          <w:sz w:val="24"/>
          <w:szCs w:val="24"/>
          <w:lang w:val="es-ES"/>
        </w:rPr>
        <w:t>El estudio incluyó a los 56 sujetos que les fue indicado TCZ para tratamiento de COVID-19 entre mayo y agosto del 2020. Las principales características de la muestra se describen en la tabla 1. Las comorbilidades más comunes fueron hipertensión arterial (48,2%), diabetes mellitus (32,1%) y sobrepeso u obesidad (26,8%). El tiempo de estadía de los pacientes que presentaron RAM fue de 25 (</w:t>
      </w:r>
      <w:r w:rsidRPr="000D6D3D">
        <w:rPr>
          <w:rFonts w:ascii="Times New Roman" w:hAnsi="Times New Roman" w:cs="Times New Roman"/>
          <w:sz w:val="24"/>
          <w:szCs w:val="24"/>
          <w:u w:val="single"/>
          <w:lang w:val="es-ES"/>
        </w:rPr>
        <w:t>+</w:t>
      </w:r>
      <w:r w:rsidR="00A24E91" w:rsidRPr="000D6D3D">
        <w:rPr>
          <w:rFonts w:ascii="Times New Roman" w:hAnsi="Times New Roman" w:cs="Times New Roman"/>
          <w:sz w:val="24"/>
          <w:szCs w:val="24"/>
          <w:lang w:val="es-ES"/>
        </w:rPr>
        <w:t>20,</w:t>
      </w:r>
      <w:r w:rsidRPr="000D6D3D">
        <w:rPr>
          <w:rFonts w:ascii="Times New Roman" w:hAnsi="Times New Roman" w:cs="Times New Roman"/>
          <w:sz w:val="24"/>
          <w:szCs w:val="24"/>
          <w:lang w:val="es-ES"/>
        </w:rPr>
        <w:t>8) días vs 16 (</w:t>
      </w:r>
      <w:r w:rsidRPr="000D6D3D">
        <w:rPr>
          <w:rFonts w:ascii="Times New Roman" w:hAnsi="Times New Roman" w:cs="Times New Roman"/>
          <w:sz w:val="24"/>
          <w:szCs w:val="24"/>
          <w:u w:val="single"/>
          <w:lang w:val="es-ES"/>
        </w:rPr>
        <w:t>+</w:t>
      </w:r>
      <w:r w:rsidRPr="000D6D3D">
        <w:rPr>
          <w:rFonts w:ascii="Times New Roman" w:hAnsi="Times New Roman" w:cs="Times New Roman"/>
          <w:sz w:val="24"/>
          <w:szCs w:val="24"/>
          <w:lang w:val="es-ES"/>
        </w:rPr>
        <w:t xml:space="preserve">10) días del grupo que no presentó RAM. La mediana del tiempo de seguimiento de la muestra fue de 15,5 días (9-29 días), </w:t>
      </w:r>
      <w:r w:rsidRPr="006777D2">
        <w:rPr>
          <w:rFonts w:ascii="Times New Roman" w:hAnsi="Times New Roman" w:cs="Times New Roman"/>
          <w:color w:val="4472C4" w:themeColor="accent5"/>
          <w:sz w:val="24"/>
          <w:szCs w:val="24"/>
          <w:lang w:val="es-ES"/>
        </w:rPr>
        <w:t>y l</w:t>
      </w:r>
      <w:r w:rsidRPr="006777D2">
        <w:rPr>
          <w:rFonts w:ascii="Times New Roman" w:eastAsia="Times New Roman" w:hAnsi="Times New Roman" w:cs="Times New Roman"/>
          <w:color w:val="4472C4" w:themeColor="accent5"/>
          <w:sz w:val="24"/>
          <w:szCs w:val="24"/>
          <w:lang w:val="es-ES"/>
        </w:rPr>
        <w:t>as causas de seguimiento incompleto fueron fallecimiento</w:t>
      </w:r>
      <w:r w:rsidR="00043C8B" w:rsidRPr="006777D2">
        <w:rPr>
          <w:rFonts w:ascii="Times New Roman" w:eastAsia="Times New Roman" w:hAnsi="Times New Roman" w:cs="Times New Roman"/>
          <w:color w:val="4472C4" w:themeColor="accent5"/>
          <w:sz w:val="24"/>
          <w:szCs w:val="24"/>
          <w:lang w:val="es-ES"/>
        </w:rPr>
        <w:t xml:space="preserve"> (</w:t>
      </w:r>
      <w:r w:rsidR="0031511A" w:rsidRPr="006777D2">
        <w:rPr>
          <w:rFonts w:ascii="Times New Roman" w:eastAsia="Times New Roman" w:hAnsi="Times New Roman" w:cs="Times New Roman"/>
          <w:color w:val="4472C4" w:themeColor="accent5"/>
          <w:sz w:val="24"/>
          <w:szCs w:val="24"/>
          <w:lang w:val="es-ES"/>
        </w:rPr>
        <w:t>6</w:t>
      </w:r>
      <w:r w:rsidR="00043C8B" w:rsidRPr="006777D2">
        <w:rPr>
          <w:rFonts w:ascii="Times New Roman" w:eastAsia="Times New Roman" w:hAnsi="Times New Roman" w:cs="Times New Roman"/>
          <w:color w:val="4472C4" w:themeColor="accent5"/>
          <w:sz w:val="24"/>
          <w:szCs w:val="24"/>
          <w:lang w:val="es-ES"/>
        </w:rPr>
        <w:t xml:space="preserve"> casos)</w:t>
      </w:r>
      <w:r w:rsidRPr="006777D2">
        <w:rPr>
          <w:rFonts w:ascii="Times New Roman" w:eastAsia="Times New Roman" w:hAnsi="Times New Roman" w:cs="Times New Roman"/>
          <w:color w:val="4472C4" w:themeColor="accent5"/>
          <w:sz w:val="24"/>
          <w:szCs w:val="24"/>
          <w:lang w:val="es-ES"/>
        </w:rPr>
        <w:t xml:space="preserve"> y alta hospitalaria</w:t>
      </w:r>
      <w:r w:rsidR="00043C8B" w:rsidRPr="006777D2">
        <w:rPr>
          <w:rFonts w:ascii="Times New Roman" w:eastAsia="Times New Roman" w:hAnsi="Times New Roman" w:cs="Times New Roman"/>
          <w:color w:val="4472C4" w:themeColor="accent5"/>
          <w:sz w:val="24"/>
          <w:szCs w:val="24"/>
          <w:lang w:val="es-ES"/>
        </w:rPr>
        <w:t xml:space="preserve"> (</w:t>
      </w:r>
      <w:r w:rsidR="0031511A" w:rsidRPr="006777D2">
        <w:rPr>
          <w:rFonts w:ascii="Times New Roman" w:eastAsia="Times New Roman" w:hAnsi="Times New Roman" w:cs="Times New Roman"/>
          <w:color w:val="4472C4" w:themeColor="accent5"/>
          <w:sz w:val="24"/>
          <w:szCs w:val="24"/>
          <w:lang w:val="es-ES"/>
        </w:rPr>
        <w:t xml:space="preserve">2 </w:t>
      </w:r>
      <w:r w:rsidR="00043C8B" w:rsidRPr="006777D2">
        <w:rPr>
          <w:rFonts w:ascii="Times New Roman" w:eastAsia="Times New Roman" w:hAnsi="Times New Roman" w:cs="Times New Roman"/>
          <w:color w:val="4472C4" w:themeColor="accent5"/>
          <w:sz w:val="24"/>
          <w:szCs w:val="24"/>
          <w:lang w:val="es-ES"/>
        </w:rPr>
        <w:t>casos)</w:t>
      </w:r>
      <w:r w:rsidR="001276C7" w:rsidRPr="006777D2">
        <w:rPr>
          <w:rFonts w:ascii="Times New Roman" w:eastAsia="Times New Roman" w:hAnsi="Times New Roman" w:cs="Times New Roman"/>
          <w:color w:val="4472C4" w:themeColor="accent5"/>
          <w:sz w:val="24"/>
          <w:szCs w:val="24"/>
          <w:lang w:val="es-ES"/>
        </w:rPr>
        <w:t>.</w:t>
      </w:r>
    </w:p>
    <w:p w:rsidR="008B580F" w:rsidRPr="000D6D3D" w:rsidRDefault="008B580F" w:rsidP="00CF0B2C">
      <w:pPr>
        <w:spacing w:after="0" w:line="360" w:lineRule="auto"/>
        <w:jc w:val="both"/>
        <w:rPr>
          <w:rFonts w:ascii="Times New Roman" w:hAnsi="Times New Roman" w:cs="Times New Roman"/>
          <w:sz w:val="24"/>
          <w:szCs w:val="24"/>
          <w:lang w:val="es-ES"/>
        </w:rPr>
      </w:pPr>
    </w:p>
    <w:p w:rsidR="008B580F" w:rsidRPr="000D6D3D" w:rsidRDefault="008B580F" w:rsidP="00CF0B2C">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sz w:val="24"/>
          <w:szCs w:val="24"/>
          <w:lang w:val="es-ES"/>
        </w:rPr>
        <w:t>De los 56 sujetos incluidos, 39 presentaron al menos una sospecha de RAM (IA global: 69,6% con IC95%: 56,7-80,1). Se identificaron en total 88 RAM, 38</w:t>
      </w:r>
      <w:r w:rsidRPr="000D6D3D">
        <w:rPr>
          <w:rFonts w:ascii="Times New Roman" w:hAnsi="Times New Roman" w:cs="Times New Roman"/>
          <w:color w:val="FF0000"/>
          <w:sz w:val="24"/>
          <w:szCs w:val="24"/>
          <w:lang w:val="es-ES"/>
        </w:rPr>
        <w:t xml:space="preserve"> </w:t>
      </w:r>
      <w:r w:rsidRPr="000D6D3D">
        <w:rPr>
          <w:rFonts w:ascii="Times New Roman" w:hAnsi="Times New Roman" w:cs="Times New Roman"/>
          <w:sz w:val="24"/>
          <w:szCs w:val="24"/>
          <w:lang w:val="es-ES"/>
        </w:rPr>
        <w:t xml:space="preserve">fueron de tipo infeccioso y 50 de tipo no infeccioso. La frecuencia de ocurrencia de </w:t>
      </w:r>
      <w:r w:rsidR="00487378" w:rsidRPr="000D6D3D">
        <w:rPr>
          <w:rFonts w:ascii="Times New Roman" w:hAnsi="Times New Roman" w:cs="Times New Roman"/>
          <w:sz w:val="24"/>
          <w:szCs w:val="24"/>
          <w:lang w:val="es-ES"/>
        </w:rPr>
        <w:t>los eventos</w:t>
      </w:r>
      <w:r w:rsidRPr="000D6D3D">
        <w:rPr>
          <w:rFonts w:ascii="Times New Roman" w:hAnsi="Times New Roman" w:cs="Times New Roman"/>
          <w:sz w:val="24"/>
          <w:szCs w:val="24"/>
          <w:lang w:val="es-ES"/>
        </w:rPr>
        <w:t xml:space="preserve"> no infeccios</w:t>
      </w:r>
      <w:r w:rsidR="00487378" w:rsidRPr="000D6D3D">
        <w:rPr>
          <w:rFonts w:ascii="Times New Roman" w:hAnsi="Times New Roman" w:cs="Times New Roman"/>
          <w:sz w:val="24"/>
          <w:szCs w:val="24"/>
          <w:lang w:val="es-ES"/>
        </w:rPr>
        <w:t>o</w:t>
      </w:r>
      <w:r w:rsidRPr="000D6D3D">
        <w:rPr>
          <w:rFonts w:ascii="Times New Roman" w:hAnsi="Times New Roman" w:cs="Times New Roman"/>
          <w:sz w:val="24"/>
          <w:szCs w:val="24"/>
          <w:lang w:val="es-ES"/>
        </w:rPr>
        <w:t>s y la estimación de la IA de cada un</w:t>
      </w:r>
      <w:r w:rsidR="00487378" w:rsidRPr="000D6D3D">
        <w:rPr>
          <w:rFonts w:ascii="Times New Roman" w:hAnsi="Times New Roman" w:cs="Times New Roman"/>
          <w:sz w:val="24"/>
          <w:szCs w:val="24"/>
          <w:lang w:val="es-ES"/>
        </w:rPr>
        <w:t>o</w:t>
      </w:r>
      <w:r w:rsidRPr="000D6D3D">
        <w:rPr>
          <w:rFonts w:ascii="Times New Roman" w:hAnsi="Times New Roman" w:cs="Times New Roman"/>
          <w:sz w:val="24"/>
          <w:szCs w:val="24"/>
          <w:lang w:val="es-ES"/>
        </w:rPr>
        <w:t xml:space="preserve"> se detallan en la tabla 2. De est</w:t>
      </w:r>
      <w:r w:rsidR="00487378" w:rsidRPr="000D6D3D">
        <w:rPr>
          <w:rFonts w:ascii="Times New Roman" w:hAnsi="Times New Roman" w:cs="Times New Roman"/>
          <w:sz w:val="24"/>
          <w:szCs w:val="24"/>
          <w:lang w:val="es-ES"/>
        </w:rPr>
        <w:t>o</w:t>
      </w:r>
      <w:r w:rsidRPr="000D6D3D">
        <w:rPr>
          <w:rFonts w:ascii="Times New Roman" w:hAnsi="Times New Roman" w:cs="Times New Roman"/>
          <w:sz w:val="24"/>
          <w:szCs w:val="24"/>
          <w:lang w:val="es-ES"/>
        </w:rPr>
        <w:t xml:space="preserve">s, el 74% correspondieron a RAM </w:t>
      </w:r>
      <w:r w:rsidR="0020454B" w:rsidRPr="000D6D3D">
        <w:rPr>
          <w:rFonts w:ascii="Times New Roman" w:hAnsi="Times New Roman" w:cs="Times New Roman"/>
          <w:sz w:val="24"/>
          <w:szCs w:val="24"/>
          <w:lang w:val="es-ES"/>
        </w:rPr>
        <w:t xml:space="preserve">de gravedad </w:t>
      </w:r>
      <w:r w:rsidRPr="000D6D3D">
        <w:rPr>
          <w:rFonts w:ascii="Times New Roman" w:hAnsi="Times New Roman" w:cs="Times New Roman"/>
          <w:sz w:val="24"/>
          <w:szCs w:val="24"/>
          <w:lang w:val="es-ES"/>
        </w:rPr>
        <w:t>leve, el 14% moderada y 12% severa.</w:t>
      </w:r>
    </w:p>
    <w:p w:rsidR="008B580F" w:rsidRPr="000D6D3D" w:rsidRDefault="008B580F" w:rsidP="00CF0B2C">
      <w:pPr>
        <w:spacing w:after="0" w:line="360" w:lineRule="auto"/>
        <w:jc w:val="both"/>
        <w:rPr>
          <w:rFonts w:ascii="Times New Roman" w:hAnsi="Times New Roman" w:cs="Times New Roman"/>
          <w:sz w:val="24"/>
          <w:szCs w:val="24"/>
          <w:lang w:val="es-ES"/>
        </w:rPr>
      </w:pPr>
    </w:p>
    <w:p w:rsidR="008B580F" w:rsidRPr="000D6D3D" w:rsidRDefault="008B580F" w:rsidP="00CF0B2C">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sz w:val="24"/>
          <w:szCs w:val="24"/>
          <w:lang w:val="es-ES"/>
        </w:rPr>
        <w:t>En 17 sujetos, se observó el desarrollo de al menos una infección bacteriana o fúngica (</w:t>
      </w:r>
      <w:r w:rsidRPr="000D6D3D">
        <w:rPr>
          <w:rFonts w:ascii="Times New Roman" w:eastAsia="Times New Roman" w:hAnsi="Times New Roman" w:cs="Times New Roman"/>
          <w:sz w:val="24"/>
          <w:szCs w:val="24"/>
          <w:lang w:val="es-ES"/>
        </w:rPr>
        <w:t xml:space="preserve">IA de desarrollo de infección: 30,4% - IC95%: 19,9-43,3). La frecuencia por sitios de infección fue: 39,5% hemocultivo, 34,2% aspirado </w:t>
      </w:r>
      <w:proofErr w:type="spellStart"/>
      <w:r w:rsidRPr="000D6D3D">
        <w:rPr>
          <w:rFonts w:ascii="Times New Roman" w:eastAsia="Times New Roman" w:hAnsi="Times New Roman" w:cs="Times New Roman"/>
          <w:sz w:val="24"/>
          <w:szCs w:val="24"/>
          <w:lang w:val="es-ES"/>
        </w:rPr>
        <w:t>endotraqueal</w:t>
      </w:r>
      <w:proofErr w:type="spellEnd"/>
      <w:r w:rsidRPr="000D6D3D">
        <w:rPr>
          <w:rFonts w:ascii="Times New Roman" w:eastAsia="Times New Roman" w:hAnsi="Times New Roman" w:cs="Times New Roman"/>
          <w:sz w:val="24"/>
          <w:szCs w:val="24"/>
          <w:lang w:val="es-ES"/>
        </w:rPr>
        <w:t xml:space="preserve"> y 26,3% </w:t>
      </w:r>
      <w:proofErr w:type="spellStart"/>
      <w:r w:rsidRPr="000D6D3D">
        <w:rPr>
          <w:rFonts w:ascii="Times New Roman" w:eastAsia="Times New Roman" w:hAnsi="Times New Roman" w:cs="Times New Roman"/>
          <w:sz w:val="24"/>
          <w:szCs w:val="24"/>
          <w:lang w:val="es-ES"/>
        </w:rPr>
        <w:t>urocultivo</w:t>
      </w:r>
      <w:proofErr w:type="spellEnd"/>
      <w:r w:rsidRPr="000D6D3D">
        <w:rPr>
          <w:rFonts w:ascii="Times New Roman" w:eastAsia="Times New Roman" w:hAnsi="Times New Roman" w:cs="Times New Roman"/>
          <w:sz w:val="24"/>
          <w:szCs w:val="24"/>
          <w:lang w:val="es-ES"/>
        </w:rPr>
        <w:t xml:space="preserve">. Cabe destacar que un mismo paciente podía presentar más de un proceso infeccioso durante el periodo de seguimiento. Los microorganismos identificados más frecuentes fueron: </w:t>
      </w:r>
      <w:r w:rsidRPr="000D6D3D">
        <w:rPr>
          <w:rFonts w:ascii="Times New Roman" w:eastAsia="Times New Roman" w:hAnsi="Times New Roman" w:cs="Times New Roman"/>
          <w:i/>
          <w:sz w:val="24"/>
          <w:szCs w:val="24"/>
          <w:lang w:val="es-ES"/>
        </w:rPr>
        <w:t>K</w:t>
      </w:r>
      <w:r w:rsidR="008E4147" w:rsidRPr="000D6D3D">
        <w:rPr>
          <w:rFonts w:ascii="Times New Roman" w:eastAsia="Times New Roman" w:hAnsi="Times New Roman" w:cs="Times New Roman"/>
          <w:i/>
          <w:sz w:val="24"/>
          <w:szCs w:val="24"/>
          <w:lang w:val="es-ES"/>
        </w:rPr>
        <w:t>.</w:t>
      </w:r>
      <w:r w:rsidRPr="000D6D3D">
        <w:rPr>
          <w:rFonts w:ascii="Times New Roman" w:eastAsia="Times New Roman" w:hAnsi="Times New Roman" w:cs="Times New Roman"/>
          <w:i/>
          <w:sz w:val="24"/>
          <w:szCs w:val="24"/>
          <w:lang w:val="es-ES"/>
        </w:rPr>
        <w:t xml:space="preserve"> </w:t>
      </w:r>
      <w:proofErr w:type="spellStart"/>
      <w:r w:rsidRPr="000D6D3D">
        <w:rPr>
          <w:rFonts w:ascii="Times New Roman" w:eastAsia="Times New Roman" w:hAnsi="Times New Roman" w:cs="Times New Roman"/>
          <w:i/>
          <w:sz w:val="24"/>
          <w:szCs w:val="24"/>
          <w:lang w:val="es-ES"/>
        </w:rPr>
        <w:t>pneumoniae</w:t>
      </w:r>
      <w:proofErr w:type="spellEnd"/>
      <w:r w:rsidRPr="000D6D3D">
        <w:rPr>
          <w:rFonts w:ascii="Times New Roman" w:eastAsia="Times New Roman" w:hAnsi="Times New Roman" w:cs="Times New Roman"/>
          <w:i/>
          <w:sz w:val="24"/>
          <w:szCs w:val="24"/>
          <w:lang w:val="es-ES"/>
        </w:rPr>
        <w:t>,</w:t>
      </w:r>
      <w:r w:rsidRPr="000D6D3D">
        <w:rPr>
          <w:rFonts w:ascii="Times New Roman" w:eastAsia="Times New Roman" w:hAnsi="Times New Roman" w:cs="Times New Roman"/>
          <w:sz w:val="24"/>
          <w:szCs w:val="24"/>
          <w:lang w:val="es-ES"/>
        </w:rPr>
        <w:t xml:space="preserve"> </w:t>
      </w:r>
      <w:r w:rsidRPr="000D6D3D">
        <w:rPr>
          <w:rFonts w:ascii="Times New Roman" w:eastAsia="Times New Roman" w:hAnsi="Times New Roman" w:cs="Times New Roman"/>
          <w:i/>
          <w:sz w:val="24"/>
          <w:szCs w:val="24"/>
          <w:lang w:val="es-ES"/>
        </w:rPr>
        <w:t>P</w:t>
      </w:r>
      <w:r w:rsidR="008E4147" w:rsidRPr="000D6D3D">
        <w:rPr>
          <w:rFonts w:ascii="Times New Roman" w:eastAsia="Times New Roman" w:hAnsi="Times New Roman" w:cs="Times New Roman"/>
          <w:i/>
          <w:sz w:val="24"/>
          <w:szCs w:val="24"/>
          <w:lang w:val="es-ES"/>
        </w:rPr>
        <w:t>.</w:t>
      </w:r>
      <w:r w:rsidRPr="000D6D3D">
        <w:rPr>
          <w:rFonts w:ascii="Times New Roman" w:eastAsia="Times New Roman" w:hAnsi="Times New Roman" w:cs="Times New Roman"/>
          <w:i/>
          <w:sz w:val="24"/>
          <w:szCs w:val="24"/>
          <w:lang w:val="es-ES"/>
        </w:rPr>
        <w:t xml:space="preserve"> </w:t>
      </w:r>
      <w:proofErr w:type="spellStart"/>
      <w:r w:rsidRPr="000D6D3D">
        <w:rPr>
          <w:rFonts w:ascii="Times New Roman" w:eastAsia="Times New Roman" w:hAnsi="Times New Roman" w:cs="Times New Roman"/>
          <w:i/>
          <w:sz w:val="24"/>
          <w:szCs w:val="24"/>
          <w:lang w:val="es-ES"/>
        </w:rPr>
        <w:t>aeruginosa</w:t>
      </w:r>
      <w:proofErr w:type="spellEnd"/>
      <w:r w:rsidRPr="000D6D3D">
        <w:rPr>
          <w:rFonts w:ascii="Times New Roman" w:eastAsia="Times New Roman" w:hAnsi="Times New Roman" w:cs="Times New Roman"/>
          <w:i/>
          <w:sz w:val="24"/>
          <w:szCs w:val="24"/>
          <w:lang w:val="es-ES"/>
        </w:rPr>
        <w:t>, C</w:t>
      </w:r>
      <w:r w:rsidR="008E4147" w:rsidRPr="000D6D3D">
        <w:rPr>
          <w:rFonts w:ascii="Times New Roman" w:eastAsia="Times New Roman" w:hAnsi="Times New Roman" w:cs="Times New Roman"/>
          <w:i/>
          <w:sz w:val="24"/>
          <w:szCs w:val="24"/>
          <w:lang w:val="es-ES"/>
        </w:rPr>
        <w:t>.</w:t>
      </w:r>
      <w:r w:rsidRPr="000D6D3D">
        <w:rPr>
          <w:rFonts w:ascii="Times New Roman" w:eastAsia="Times New Roman" w:hAnsi="Times New Roman" w:cs="Times New Roman"/>
          <w:i/>
          <w:sz w:val="24"/>
          <w:szCs w:val="24"/>
          <w:lang w:val="es-ES"/>
        </w:rPr>
        <w:t xml:space="preserve"> </w:t>
      </w:r>
      <w:proofErr w:type="spellStart"/>
      <w:r w:rsidRPr="000D6D3D">
        <w:rPr>
          <w:rFonts w:ascii="Times New Roman" w:eastAsia="Times New Roman" w:hAnsi="Times New Roman" w:cs="Times New Roman"/>
          <w:i/>
          <w:sz w:val="24"/>
          <w:szCs w:val="24"/>
          <w:lang w:val="es-ES"/>
        </w:rPr>
        <w:t>albicans</w:t>
      </w:r>
      <w:proofErr w:type="spellEnd"/>
      <w:r w:rsidRPr="000D6D3D">
        <w:rPr>
          <w:rFonts w:ascii="Times New Roman" w:eastAsia="Times New Roman" w:hAnsi="Times New Roman" w:cs="Times New Roman"/>
          <w:i/>
          <w:sz w:val="24"/>
          <w:szCs w:val="24"/>
          <w:lang w:val="es-ES"/>
        </w:rPr>
        <w:t xml:space="preserve"> y</w:t>
      </w:r>
      <w:r w:rsidRPr="000D6D3D">
        <w:rPr>
          <w:rFonts w:ascii="Times New Roman" w:eastAsia="Times New Roman" w:hAnsi="Times New Roman" w:cs="Times New Roman"/>
          <w:sz w:val="24"/>
          <w:szCs w:val="24"/>
          <w:lang w:val="es-ES"/>
        </w:rPr>
        <w:t xml:space="preserve"> </w:t>
      </w:r>
      <w:r w:rsidRPr="000D6D3D">
        <w:rPr>
          <w:rFonts w:ascii="Times New Roman" w:eastAsia="Times New Roman" w:hAnsi="Times New Roman" w:cs="Times New Roman"/>
          <w:i/>
          <w:sz w:val="24"/>
          <w:szCs w:val="24"/>
          <w:lang w:val="es-ES"/>
        </w:rPr>
        <w:t>S</w:t>
      </w:r>
      <w:r w:rsidR="008E4147" w:rsidRPr="000D6D3D">
        <w:rPr>
          <w:rFonts w:ascii="Times New Roman" w:eastAsia="Times New Roman" w:hAnsi="Times New Roman" w:cs="Times New Roman"/>
          <w:i/>
          <w:sz w:val="24"/>
          <w:szCs w:val="24"/>
          <w:lang w:val="es-ES"/>
        </w:rPr>
        <w:t>.</w:t>
      </w:r>
      <w:r w:rsidRPr="000D6D3D">
        <w:rPr>
          <w:rFonts w:ascii="Times New Roman" w:eastAsia="Times New Roman" w:hAnsi="Times New Roman" w:cs="Times New Roman"/>
          <w:i/>
          <w:sz w:val="24"/>
          <w:szCs w:val="24"/>
          <w:lang w:val="es-ES"/>
        </w:rPr>
        <w:t xml:space="preserve"> </w:t>
      </w:r>
      <w:proofErr w:type="spellStart"/>
      <w:r w:rsidRPr="000D6D3D">
        <w:rPr>
          <w:rFonts w:ascii="Times New Roman" w:eastAsia="Times New Roman" w:hAnsi="Times New Roman" w:cs="Times New Roman"/>
          <w:i/>
          <w:sz w:val="24"/>
          <w:szCs w:val="24"/>
          <w:lang w:val="es-ES"/>
        </w:rPr>
        <w:t>aureus</w:t>
      </w:r>
      <w:proofErr w:type="spellEnd"/>
      <w:r w:rsidRPr="000D6D3D">
        <w:rPr>
          <w:rFonts w:ascii="Times New Roman" w:eastAsia="Times New Roman" w:hAnsi="Times New Roman" w:cs="Times New Roman"/>
          <w:i/>
          <w:sz w:val="24"/>
          <w:szCs w:val="24"/>
          <w:lang w:val="es-ES"/>
        </w:rPr>
        <w:t>.</w:t>
      </w:r>
      <w:r w:rsidRPr="000D6D3D">
        <w:rPr>
          <w:rFonts w:ascii="Times New Roman" w:eastAsia="Times New Roman" w:hAnsi="Times New Roman" w:cs="Times New Roman"/>
          <w:sz w:val="24"/>
          <w:szCs w:val="24"/>
          <w:lang w:val="es-ES"/>
        </w:rPr>
        <w:t xml:space="preserve"> El tiempo de aparición de </w:t>
      </w:r>
      <w:r w:rsidR="008E4147" w:rsidRPr="000D6D3D">
        <w:rPr>
          <w:rFonts w:ascii="Times New Roman" w:eastAsia="Times New Roman" w:hAnsi="Times New Roman" w:cs="Times New Roman"/>
          <w:sz w:val="24"/>
          <w:szCs w:val="24"/>
          <w:lang w:val="es-ES"/>
        </w:rPr>
        <w:t>infecciones bacterianas y/o fúngicas</w:t>
      </w:r>
      <w:r w:rsidRPr="000D6D3D">
        <w:rPr>
          <w:rFonts w:ascii="Times New Roman" w:eastAsia="Times New Roman" w:hAnsi="Times New Roman" w:cs="Times New Roman"/>
          <w:sz w:val="24"/>
          <w:szCs w:val="24"/>
          <w:lang w:val="es-ES"/>
        </w:rPr>
        <w:t xml:space="preserve"> fue variable dependiendo del sitio de infección (Figura 1). El 7,9% apareció antes de los 7 días, el 23,7% entre el día 7 y el 14, y el 68,4% apareció posterior a los 14 días de administrado el TCZ.</w:t>
      </w:r>
    </w:p>
    <w:p w:rsidR="008B580F" w:rsidRPr="000D6D3D" w:rsidRDefault="008B580F" w:rsidP="00CF0B2C">
      <w:pPr>
        <w:spacing w:after="0" w:line="360" w:lineRule="auto"/>
        <w:jc w:val="both"/>
        <w:rPr>
          <w:rFonts w:ascii="Times New Roman" w:eastAsia="Times New Roman" w:hAnsi="Times New Roman" w:cs="Times New Roman"/>
          <w:i/>
          <w:sz w:val="24"/>
          <w:szCs w:val="24"/>
          <w:lang w:val="es-ES"/>
        </w:rPr>
      </w:pPr>
    </w:p>
    <w:p w:rsidR="008B580F" w:rsidRPr="000D6D3D" w:rsidRDefault="008B580F" w:rsidP="00CF0B2C">
      <w:pPr>
        <w:spacing w:after="0" w:line="360" w:lineRule="auto"/>
        <w:jc w:val="both"/>
        <w:rPr>
          <w:rFonts w:ascii="Times New Roman" w:eastAsia="Times New Roman" w:hAnsi="Times New Roman" w:cs="Times New Roman"/>
          <w:sz w:val="24"/>
          <w:szCs w:val="24"/>
          <w:lang w:val="es-ES"/>
        </w:rPr>
      </w:pPr>
      <w:r w:rsidRPr="000D6D3D">
        <w:rPr>
          <w:rFonts w:ascii="Times New Roman" w:eastAsia="Times New Roman" w:hAnsi="Times New Roman" w:cs="Times New Roman"/>
          <w:sz w:val="24"/>
          <w:szCs w:val="24"/>
          <w:lang w:val="es-ES"/>
        </w:rPr>
        <w:t>La evaluación de causalidad y preventibilidad fue realizada en las 88 sosp</w:t>
      </w:r>
      <w:r w:rsidR="002B7D71" w:rsidRPr="000D6D3D">
        <w:rPr>
          <w:rFonts w:ascii="Times New Roman" w:eastAsia="Times New Roman" w:hAnsi="Times New Roman" w:cs="Times New Roman"/>
          <w:sz w:val="24"/>
          <w:szCs w:val="24"/>
          <w:lang w:val="es-ES"/>
        </w:rPr>
        <w:t>echas de RAM identificadas (</w:t>
      </w:r>
      <w:r w:rsidRPr="000D6D3D">
        <w:rPr>
          <w:rFonts w:ascii="Times New Roman" w:eastAsia="Times New Roman" w:hAnsi="Times New Roman" w:cs="Times New Roman"/>
          <w:sz w:val="24"/>
          <w:szCs w:val="24"/>
          <w:lang w:val="es-ES"/>
        </w:rPr>
        <w:t xml:space="preserve">Figura 2). Las neutropenias y trombocitopenias se clasificaron mayoritariamente </w:t>
      </w:r>
      <w:r w:rsidR="003D7EEF" w:rsidRPr="000D6D3D">
        <w:rPr>
          <w:rFonts w:ascii="Times New Roman" w:eastAsia="Times New Roman" w:hAnsi="Times New Roman" w:cs="Times New Roman"/>
          <w:sz w:val="24"/>
          <w:szCs w:val="24"/>
          <w:lang w:val="es-ES"/>
        </w:rPr>
        <w:t>de</w:t>
      </w:r>
      <w:r w:rsidRPr="000D6D3D">
        <w:rPr>
          <w:rFonts w:ascii="Times New Roman" w:eastAsia="Times New Roman" w:hAnsi="Times New Roman" w:cs="Times New Roman"/>
          <w:sz w:val="24"/>
          <w:szCs w:val="24"/>
          <w:lang w:val="es-ES"/>
        </w:rPr>
        <w:t xml:space="preserve"> causalidad </w:t>
      </w:r>
      <w:r w:rsidRPr="000D6D3D">
        <w:rPr>
          <w:rFonts w:ascii="Times New Roman" w:eastAsia="Times New Roman" w:hAnsi="Times New Roman" w:cs="Times New Roman"/>
          <w:i/>
          <w:sz w:val="24"/>
          <w:szCs w:val="24"/>
          <w:lang w:val="es-ES"/>
        </w:rPr>
        <w:t xml:space="preserve">Probable </w:t>
      </w:r>
      <w:r w:rsidRPr="000D6D3D">
        <w:rPr>
          <w:rFonts w:ascii="Times New Roman" w:eastAsia="Times New Roman" w:hAnsi="Times New Roman" w:cs="Times New Roman"/>
          <w:sz w:val="24"/>
          <w:szCs w:val="24"/>
          <w:lang w:val="es-ES"/>
        </w:rPr>
        <w:t xml:space="preserve">(100% y 93,8%, respectivamente). Diferente a lo observado en las transaminitis, donde el 52,9% fue clasificado </w:t>
      </w:r>
      <w:r w:rsidR="003D7EEF" w:rsidRPr="000D6D3D">
        <w:rPr>
          <w:rFonts w:ascii="Times New Roman" w:eastAsia="Times New Roman" w:hAnsi="Times New Roman" w:cs="Times New Roman"/>
          <w:sz w:val="24"/>
          <w:szCs w:val="24"/>
          <w:lang w:val="es-ES"/>
        </w:rPr>
        <w:t>de</w:t>
      </w:r>
      <w:r w:rsidRPr="000D6D3D">
        <w:rPr>
          <w:rFonts w:ascii="Times New Roman" w:eastAsia="Times New Roman" w:hAnsi="Times New Roman" w:cs="Times New Roman"/>
          <w:sz w:val="24"/>
          <w:szCs w:val="24"/>
          <w:lang w:val="es-ES"/>
        </w:rPr>
        <w:t xml:space="preserve"> causalidad </w:t>
      </w:r>
      <w:r w:rsidRPr="000D6D3D">
        <w:rPr>
          <w:rFonts w:ascii="Times New Roman" w:eastAsia="Times New Roman" w:hAnsi="Times New Roman" w:cs="Times New Roman"/>
          <w:i/>
          <w:sz w:val="24"/>
          <w:szCs w:val="24"/>
          <w:lang w:val="es-ES"/>
        </w:rPr>
        <w:t xml:space="preserve">Posible </w:t>
      </w:r>
      <w:r w:rsidRPr="000D6D3D">
        <w:rPr>
          <w:rFonts w:ascii="Times New Roman" w:eastAsia="Times New Roman" w:hAnsi="Times New Roman" w:cs="Times New Roman"/>
          <w:sz w:val="24"/>
          <w:szCs w:val="24"/>
          <w:lang w:val="es-ES"/>
        </w:rPr>
        <w:t>y</w:t>
      </w:r>
      <w:r w:rsidRPr="000D6D3D">
        <w:rPr>
          <w:rFonts w:ascii="Times New Roman" w:eastAsia="Times New Roman" w:hAnsi="Times New Roman" w:cs="Times New Roman"/>
          <w:i/>
          <w:sz w:val="24"/>
          <w:szCs w:val="24"/>
          <w:lang w:val="es-ES"/>
        </w:rPr>
        <w:t xml:space="preserve"> </w:t>
      </w:r>
      <w:r w:rsidRPr="000D6D3D">
        <w:rPr>
          <w:rFonts w:ascii="Times New Roman" w:eastAsia="Times New Roman" w:hAnsi="Times New Roman" w:cs="Times New Roman"/>
          <w:sz w:val="24"/>
          <w:szCs w:val="24"/>
          <w:lang w:val="es-ES"/>
        </w:rPr>
        <w:t xml:space="preserve">el </w:t>
      </w:r>
      <w:r w:rsidRPr="000D6D3D">
        <w:rPr>
          <w:rFonts w:ascii="Times New Roman" w:eastAsia="Times New Roman" w:hAnsi="Times New Roman" w:cs="Times New Roman"/>
          <w:sz w:val="24"/>
          <w:szCs w:val="24"/>
          <w:lang w:val="es-ES"/>
        </w:rPr>
        <w:lastRenderedPageBreak/>
        <w:t>47,1% como</w:t>
      </w:r>
      <w:r w:rsidRPr="000D6D3D">
        <w:rPr>
          <w:rFonts w:ascii="Times New Roman" w:eastAsia="Times New Roman" w:hAnsi="Times New Roman" w:cs="Times New Roman"/>
          <w:i/>
          <w:sz w:val="24"/>
          <w:szCs w:val="24"/>
          <w:lang w:val="es-ES"/>
        </w:rPr>
        <w:t xml:space="preserve"> Probable.</w:t>
      </w:r>
      <w:r w:rsidR="00721F4B" w:rsidRPr="000D6D3D">
        <w:rPr>
          <w:rFonts w:ascii="Times New Roman" w:eastAsia="Times New Roman" w:hAnsi="Times New Roman" w:cs="Times New Roman"/>
          <w:i/>
          <w:sz w:val="24"/>
          <w:szCs w:val="24"/>
          <w:lang w:val="es-ES"/>
        </w:rPr>
        <w:t xml:space="preserve"> </w:t>
      </w:r>
      <w:r w:rsidR="00721F4B" w:rsidRPr="000D6D3D">
        <w:rPr>
          <w:rFonts w:ascii="Times New Roman" w:eastAsia="Times New Roman" w:hAnsi="Times New Roman" w:cs="Times New Roman"/>
          <w:sz w:val="24"/>
          <w:szCs w:val="24"/>
          <w:lang w:val="es-ES"/>
        </w:rPr>
        <w:t xml:space="preserve">En relación al </w:t>
      </w:r>
      <w:r w:rsidRPr="000D6D3D">
        <w:rPr>
          <w:rFonts w:ascii="Times New Roman" w:eastAsia="Times New Roman" w:hAnsi="Times New Roman" w:cs="Times New Roman"/>
          <w:sz w:val="24"/>
          <w:szCs w:val="24"/>
          <w:lang w:val="es-ES"/>
        </w:rPr>
        <w:t>desarrollo de infección</w:t>
      </w:r>
      <w:r w:rsidR="00DA6F39" w:rsidRPr="000D6D3D">
        <w:rPr>
          <w:rFonts w:ascii="Times New Roman" w:eastAsia="Times New Roman" w:hAnsi="Times New Roman" w:cs="Times New Roman"/>
          <w:sz w:val="24"/>
          <w:szCs w:val="24"/>
          <w:lang w:val="es-ES"/>
        </w:rPr>
        <w:t>, todos</w:t>
      </w:r>
      <w:r w:rsidRPr="000D6D3D">
        <w:rPr>
          <w:rFonts w:ascii="Times New Roman" w:eastAsia="Times New Roman" w:hAnsi="Times New Roman" w:cs="Times New Roman"/>
          <w:sz w:val="24"/>
          <w:szCs w:val="24"/>
          <w:lang w:val="es-ES"/>
        </w:rPr>
        <w:t xml:space="preserve"> </w:t>
      </w:r>
      <w:r w:rsidR="00DA6F39" w:rsidRPr="000D6D3D">
        <w:rPr>
          <w:rFonts w:ascii="Times New Roman" w:eastAsia="Times New Roman" w:hAnsi="Times New Roman" w:cs="Times New Roman"/>
          <w:sz w:val="24"/>
          <w:szCs w:val="24"/>
          <w:lang w:val="es-ES"/>
        </w:rPr>
        <w:t xml:space="preserve">los casos </w:t>
      </w:r>
      <w:r w:rsidRPr="000D6D3D">
        <w:rPr>
          <w:rFonts w:ascii="Times New Roman" w:eastAsia="Times New Roman" w:hAnsi="Times New Roman" w:cs="Times New Roman"/>
          <w:sz w:val="24"/>
          <w:szCs w:val="24"/>
          <w:lang w:val="es-ES"/>
        </w:rPr>
        <w:t xml:space="preserve">fueron clasificados </w:t>
      </w:r>
      <w:r w:rsidR="003D7EEF" w:rsidRPr="000D6D3D">
        <w:rPr>
          <w:rFonts w:ascii="Times New Roman" w:eastAsia="Times New Roman" w:hAnsi="Times New Roman" w:cs="Times New Roman"/>
          <w:sz w:val="24"/>
          <w:szCs w:val="24"/>
          <w:lang w:val="es-ES"/>
        </w:rPr>
        <w:t>de</w:t>
      </w:r>
      <w:r w:rsidRPr="000D6D3D">
        <w:rPr>
          <w:rFonts w:ascii="Times New Roman" w:eastAsia="Times New Roman" w:hAnsi="Times New Roman" w:cs="Times New Roman"/>
          <w:sz w:val="24"/>
          <w:szCs w:val="24"/>
          <w:lang w:val="es-ES"/>
        </w:rPr>
        <w:t xml:space="preserve"> causalidad </w:t>
      </w:r>
      <w:r w:rsidRPr="000D6D3D">
        <w:rPr>
          <w:rFonts w:ascii="Times New Roman" w:eastAsia="Times New Roman" w:hAnsi="Times New Roman" w:cs="Times New Roman"/>
          <w:i/>
          <w:sz w:val="24"/>
          <w:szCs w:val="24"/>
          <w:lang w:val="es-ES"/>
        </w:rPr>
        <w:t xml:space="preserve">Posible. </w:t>
      </w:r>
      <w:r w:rsidR="00721F4B" w:rsidRPr="000D6D3D">
        <w:rPr>
          <w:rFonts w:ascii="Times New Roman" w:eastAsia="Times New Roman" w:hAnsi="Times New Roman" w:cs="Times New Roman"/>
          <w:sz w:val="24"/>
          <w:szCs w:val="24"/>
          <w:lang w:val="es-ES"/>
        </w:rPr>
        <w:t>De acuerdo</w:t>
      </w:r>
      <w:r w:rsidRPr="000D6D3D">
        <w:rPr>
          <w:rFonts w:ascii="Times New Roman" w:eastAsia="Times New Roman" w:hAnsi="Times New Roman" w:cs="Times New Roman"/>
          <w:sz w:val="24"/>
          <w:szCs w:val="24"/>
          <w:lang w:val="es-ES"/>
        </w:rPr>
        <w:t xml:space="preserve"> al análisis de preventibilidad, el desarrollo infección, neutropenia y trombocitopenia fueron clasificados en su mayoría como </w:t>
      </w:r>
      <w:r w:rsidRPr="000D6D3D">
        <w:rPr>
          <w:rFonts w:ascii="Times New Roman" w:eastAsia="Times New Roman" w:hAnsi="Times New Roman" w:cs="Times New Roman"/>
          <w:i/>
          <w:sz w:val="24"/>
          <w:szCs w:val="24"/>
          <w:lang w:val="es-ES"/>
        </w:rPr>
        <w:t xml:space="preserve">No Prevenibles. </w:t>
      </w:r>
      <w:r w:rsidR="0089220A" w:rsidRPr="000D6D3D">
        <w:rPr>
          <w:rFonts w:ascii="Times New Roman" w:eastAsia="Times New Roman" w:hAnsi="Times New Roman" w:cs="Times New Roman"/>
          <w:sz w:val="24"/>
          <w:szCs w:val="24"/>
          <w:lang w:val="es-ES"/>
        </w:rPr>
        <w:t>Por otra parte, l</w:t>
      </w:r>
      <w:r w:rsidRPr="000D6D3D">
        <w:rPr>
          <w:rFonts w:ascii="Times New Roman" w:eastAsia="Times New Roman" w:hAnsi="Times New Roman" w:cs="Times New Roman"/>
          <w:sz w:val="24"/>
          <w:szCs w:val="24"/>
          <w:lang w:val="es-ES"/>
        </w:rPr>
        <w:t xml:space="preserve">os casos de transaminitis fueron clasificados en un 23,4% como </w:t>
      </w:r>
      <w:r w:rsidRPr="000D6D3D">
        <w:rPr>
          <w:rFonts w:ascii="Times New Roman" w:eastAsia="Times New Roman" w:hAnsi="Times New Roman" w:cs="Times New Roman"/>
          <w:i/>
          <w:sz w:val="24"/>
          <w:szCs w:val="24"/>
          <w:lang w:val="es-ES"/>
        </w:rPr>
        <w:t>No Prevenibles</w:t>
      </w:r>
      <w:r w:rsidRPr="000D6D3D">
        <w:rPr>
          <w:rFonts w:ascii="Times New Roman" w:eastAsia="Times New Roman" w:hAnsi="Times New Roman" w:cs="Times New Roman"/>
          <w:sz w:val="24"/>
          <w:szCs w:val="24"/>
          <w:lang w:val="es-ES"/>
        </w:rPr>
        <w:t xml:space="preserve">, 47,1% como </w:t>
      </w:r>
      <w:r w:rsidRPr="000D6D3D">
        <w:rPr>
          <w:rFonts w:ascii="Times New Roman" w:eastAsia="Times New Roman" w:hAnsi="Times New Roman" w:cs="Times New Roman"/>
          <w:i/>
          <w:sz w:val="24"/>
          <w:szCs w:val="24"/>
          <w:lang w:val="es-ES"/>
        </w:rPr>
        <w:t>Probablemente Prevenibles</w:t>
      </w:r>
      <w:r w:rsidRPr="000D6D3D">
        <w:rPr>
          <w:rFonts w:ascii="Times New Roman" w:eastAsia="Times New Roman" w:hAnsi="Times New Roman" w:cs="Times New Roman"/>
          <w:sz w:val="24"/>
          <w:szCs w:val="24"/>
          <w:lang w:val="es-ES"/>
        </w:rPr>
        <w:t xml:space="preserve"> y en un 29,4% </w:t>
      </w:r>
      <w:r w:rsidRPr="000D6D3D">
        <w:rPr>
          <w:rFonts w:ascii="Times New Roman" w:eastAsia="Times New Roman" w:hAnsi="Times New Roman" w:cs="Times New Roman"/>
          <w:i/>
          <w:sz w:val="24"/>
          <w:szCs w:val="24"/>
          <w:lang w:val="es-ES"/>
        </w:rPr>
        <w:t>Definitivamente Prevenibles.</w:t>
      </w:r>
    </w:p>
    <w:p w:rsidR="008B580F" w:rsidRPr="000D6D3D" w:rsidRDefault="008B580F" w:rsidP="00CF0B2C">
      <w:pPr>
        <w:spacing w:line="360" w:lineRule="auto"/>
        <w:jc w:val="both"/>
        <w:rPr>
          <w:rFonts w:ascii="Times New Roman" w:hAnsi="Times New Roman" w:cs="Times New Roman"/>
          <w:sz w:val="24"/>
          <w:szCs w:val="24"/>
        </w:rPr>
      </w:pPr>
    </w:p>
    <w:p w:rsidR="008B580F" w:rsidRPr="000D6D3D" w:rsidRDefault="008B580F" w:rsidP="00CF0B2C">
      <w:pPr>
        <w:spacing w:line="360" w:lineRule="auto"/>
        <w:jc w:val="both"/>
        <w:rPr>
          <w:rFonts w:ascii="Times New Roman" w:hAnsi="Times New Roman" w:cs="Times New Roman"/>
          <w:sz w:val="24"/>
          <w:szCs w:val="24"/>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4747DB" w:rsidRPr="000D6D3D" w:rsidRDefault="004747DB"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8479D3" w:rsidRPr="000D6D3D" w:rsidRDefault="008479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702B71" w:rsidRPr="000D6D3D" w:rsidRDefault="00702B71" w:rsidP="00CF0B2C">
      <w:pPr>
        <w:spacing w:after="0" w:line="360" w:lineRule="auto"/>
        <w:rPr>
          <w:rFonts w:ascii="Times New Roman" w:hAnsi="Times New Roman" w:cs="Times New Roman"/>
          <w:b/>
          <w:sz w:val="24"/>
          <w:szCs w:val="24"/>
          <w:lang w:val="es-ES"/>
        </w:rPr>
      </w:pPr>
    </w:p>
    <w:p w:rsidR="00DD46D3" w:rsidRPr="000D6D3D" w:rsidRDefault="00DD46D3" w:rsidP="00CF0B2C">
      <w:pPr>
        <w:spacing w:after="0" w:line="360" w:lineRule="auto"/>
        <w:rPr>
          <w:rFonts w:ascii="Times New Roman" w:hAnsi="Times New Roman" w:cs="Times New Roman"/>
          <w:b/>
          <w:sz w:val="24"/>
          <w:szCs w:val="24"/>
          <w:lang w:val="es-ES"/>
        </w:rPr>
      </w:pPr>
    </w:p>
    <w:p w:rsidR="008B580F" w:rsidRPr="000D6D3D" w:rsidRDefault="008B580F" w:rsidP="00CF0B2C">
      <w:pPr>
        <w:spacing w:after="0" w:line="360" w:lineRule="auto"/>
        <w:rPr>
          <w:rFonts w:ascii="Times New Roman" w:hAnsi="Times New Roman" w:cs="Times New Roman"/>
          <w:b/>
          <w:sz w:val="24"/>
          <w:szCs w:val="24"/>
          <w:lang w:val="es-ES"/>
        </w:rPr>
      </w:pPr>
      <w:r w:rsidRPr="000D6D3D">
        <w:rPr>
          <w:rFonts w:ascii="Times New Roman" w:hAnsi="Times New Roman" w:cs="Times New Roman"/>
          <w:b/>
          <w:sz w:val="24"/>
          <w:szCs w:val="24"/>
          <w:lang w:val="es-ES"/>
        </w:rPr>
        <w:t>Discusión:</w:t>
      </w:r>
    </w:p>
    <w:p w:rsidR="006705D0" w:rsidRPr="000D6D3D" w:rsidRDefault="006705D0" w:rsidP="00CF0B2C">
      <w:pPr>
        <w:spacing w:after="0" w:line="360" w:lineRule="auto"/>
        <w:rPr>
          <w:rFonts w:ascii="Times New Roman" w:eastAsia="Times New Roman" w:hAnsi="Times New Roman" w:cs="Times New Roman"/>
          <w:color w:val="2F5496" w:themeColor="accent5" w:themeShade="BF"/>
          <w:sz w:val="24"/>
          <w:szCs w:val="24"/>
          <w:lang w:val="es-ES" w:eastAsia="es-ES"/>
        </w:rPr>
      </w:pPr>
    </w:p>
    <w:p w:rsidR="008B580F" w:rsidRPr="000D6D3D" w:rsidRDefault="008B580F" w:rsidP="00CF0B2C">
      <w:pPr>
        <w:spacing w:after="0" w:line="360" w:lineRule="auto"/>
        <w:jc w:val="both"/>
        <w:rPr>
          <w:rFonts w:ascii="Times New Roman" w:hAnsi="Times New Roman" w:cs="Times New Roman"/>
          <w:strike/>
          <w:sz w:val="24"/>
          <w:szCs w:val="24"/>
          <w:lang w:val="es-ES"/>
        </w:rPr>
      </w:pPr>
      <w:r w:rsidRPr="000D6D3D">
        <w:rPr>
          <w:rFonts w:ascii="Times New Roman" w:hAnsi="Times New Roman" w:cs="Times New Roman"/>
          <w:sz w:val="24"/>
          <w:szCs w:val="24"/>
          <w:lang w:val="es-ES"/>
        </w:rPr>
        <w:t xml:space="preserve">Evaluamos que la IA de sospechas de RAM por TCZ fue de 69,6%, siendo la transaminitis y el desarrollo de infección los eventos más frecuentes. </w:t>
      </w:r>
      <w:r w:rsidR="00A36CD6" w:rsidRPr="000D6D3D">
        <w:rPr>
          <w:rFonts w:ascii="Times New Roman" w:hAnsi="Times New Roman" w:cs="Times New Roman"/>
          <w:sz w:val="24"/>
          <w:szCs w:val="24"/>
          <w:lang w:val="es-ES"/>
        </w:rPr>
        <w:t>N</w:t>
      </w:r>
      <w:r w:rsidRPr="000D6D3D">
        <w:rPr>
          <w:rFonts w:ascii="Times New Roman" w:hAnsi="Times New Roman" w:cs="Times New Roman"/>
          <w:sz w:val="24"/>
          <w:szCs w:val="24"/>
          <w:lang w:val="es-ES"/>
        </w:rPr>
        <w:t>inguna de las sospecha</w:t>
      </w:r>
      <w:r w:rsidR="005335DD" w:rsidRPr="000D6D3D">
        <w:rPr>
          <w:rFonts w:ascii="Times New Roman" w:hAnsi="Times New Roman" w:cs="Times New Roman"/>
          <w:sz w:val="24"/>
          <w:szCs w:val="24"/>
          <w:lang w:val="es-ES"/>
        </w:rPr>
        <w:t>s</w:t>
      </w:r>
      <w:r w:rsidRPr="000D6D3D">
        <w:rPr>
          <w:rFonts w:ascii="Times New Roman" w:hAnsi="Times New Roman" w:cs="Times New Roman"/>
          <w:sz w:val="24"/>
          <w:szCs w:val="24"/>
          <w:lang w:val="es-ES"/>
        </w:rPr>
        <w:t xml:space="preserve"> de RAM de nuestro estudio pudieron ser clasificadas como </w:t>
      </w:r>
      <w:r w:rsidRPr="000D6D3D">
        <w:rPr>
          <w:rFonts w:ascii="Times New Roman" w:hAnsi="Times New Roman" w:cs="Times New Roman"/>
          <w:i/>
          <w:sz w:val="24"/>
          <w:szCs w:val="24"/>
          <w:lang w:val="es-ES"/>
        </w:rPr>
        <w:t>Probadas</w:t>
      </w:r>
      <w:r w:rsidRPr="000D6D3D">
        <w:rPr>
          <w:rFonts w:ascii="Times New Roman" w:hAnsi="Times New Roman" w:cs="Times New Roman"/>
          <w:sz w:val="24"/>
          <w:szCs w:val="24"/>
          <w:lang w:val="es-ES"/>
        </w:rPr>
        <w:t xml:space="preserve">, dado que no se readministró TCZ y tampoco fue medido el fármaco en la sangre. </w:t>
      </w:r>
    </w:p>
    <w:p w:rsidR="00223F9F" w:rsidRPr="000D6D3D" w:rsidRDefault="00223F9F" w:rsidP="00CF0B2C">
      <w:pPr>
        <w:spacing w:after="0" w:line="360" w:lineRule="auto"/>
        <w:jc w:val="both"/>
        <w:rPr>
          <w:rFonts w:ascii="Times New Roman" w:eastAsia="Times New Roman" w:hAnsi="Times New Roman" w:cs="Times New Roman"/>
          <w:sz w:val="24"/>
          <w:szCs w:val="24"/>
          <w:lang w:val="es-ES"/>
        </w:rPr>
      </w:pPr>
    </w:p>
    <w:p w:rsidR="008B580F" w:rsidRPr="000D6D3D" w:rsidRDefault="005335DD" w:rsidP="00CF0B2C">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color w:val="000000" w:themeColor="text1"/>
          <w:sz w:val="24"/>
          <w:szCs w:val="24"/>
          <w:lang w:val="es-ES"/>
        </w:rPr>
        <w:t>L</w:t>
      </w:r>
      <w:r w:rsidR="008B580F" w:rsidRPr="000D6D3D">
        <w:rPr>
          <w:rFonts w:ascii="Times New Roman" w:hAnsi="Times New Roman" w:cs="Times New Roman"/>
          <w:color w:val="000000" w:themeColor="text1"/>
          <w:sz w:val="24"/>
          <w:szCs w:val="24"/>
          <w:lang w:val="es-ES"/>
        </w:rPr>
        <w:t xml:space="preserve">a IA observada de transaminitis fue de </w:t>
      </w:r>
      <w:r w:rsidR="00CB0E78" w:rsidRPr="000D6D3D">
        <w:rPr>
          <w:rFonts w:ascii="Times New Roman" w:eastAsia="Times New Roman" w:hAnsi="Times New Roman" w:cs="Times New Roman"/>
          <w:color w:val="000000"/>
          <w:sz w:val="24"/>
          <w:szCs w:val="24"/>
          <w:lang w:eastAsia="es-CL"/>
        </w:rPr>
        <w:t>60,7%</w:t>
      </w:r>
      <w:r w:rsidR="008B580F" w:rsidRPr="000D6D3D">
        <w:rPr>
          <w:rFonts w:ascii="Times New Roman" w:eastAsia="Times New Roman" w:hAnsi="Times New Roman" w:cs="Times New Roman"/>
          <w:color w:val="000000"/>
          <w:sz w:val="24"/>
          <w:szCs w:val="24"/>
          <w:lang w:eastAsia="es-CL"/>
        </w:rPr>
        <w:t xml:space="preserve">, mayor a </w:t>
      </w:r>
      <w:r w:rsidR="008B580F" w:rsidRPr="000D6D3D">
        <w:rPr>
          <w:rFonts w:ascii="Times New Roman" w:hAnsi="Times New Roman" w:cs="Times New Roman"/>
          <w:sz w:val="24"/>
          <w:szCs w:val="24"/>
          <w:lang w:val="es-ES"/>
        </w:rPr>
        <w:t xml:space="preserve">lo reportado en los estudios clínicos aleatorizados (ECA) de COVID-19 (5,0 - 8,3%) </w:t>
      </w:r>
      <w:r w:rsidR="00EB2FBA" w:rsidRPr="000D6D3D">
        <w:rPr>
          <w:rFonts w:ascii="Times New Roman" w:hAnsi="Times New Roman" w:cs="Times New Roman"/>
          <w:sz w:val="24"/>
          <w:szCs w:val="24"/>
          <w:lang w:val="es-ES"/>
        </w:rPr>
        <w:t>[</w:t>
      </w:r>
      <w:r w:rsidR="001E1ECA" w:rsidRPr="000D6D3D">
        <w:rPr>
          <w:rFonts w:ascii="Times New Roman" w:hAnsi="Times New Roman" w:cs="Times New Roman"/>
          <w:sz w:val="24"/>
          <w:szCs w:val="24"/>
          <w:lang w:val="es-ES"/>
        </w:rPr>
        <w:t>10</w:t>
      </w:r>
      <w:r w:rsidR="005D10B9" w:rsidRPr="000D6D3D">
        <w:rPr>
          <w:rFonts w:ascii="Times New Roman" w:hAnsi="Times New Roman" w:cs="Times New Roman"/>
          <w:sz w:val="24"/>
          <w:szCs w:val="24"/>
          <w:lang w:val="es-ES"/>
        </w:rPr>
        <w:t>,</w:t>
      </w:r>
      <w:r w:rsidR="009B7E98" w:rsidRPr="000D6D3D">
        <w:rPr>
          <w:rFonts w:ascii="Times New Roman" w:hAnsi="Times New Roman" w:cs="Times New Roman"/>
          <w:sz w:val="24"/>
          <w:szCs w:val="24"/>
          <w:lang w:val="es-ES"/>
        </w:rPr>
        <w:t>12</w:t>
      </w:r>
      <w:r w:rsidR="00EB2FBA" w:rsidRPr="000D6D3D">
        <w:rPr>
          <w:rFonts w:ascii="Times New Roman" w:hAnsi="Times New Roman" w:cs="Times New Roman"/>
          <w:sz w:val="24"/>
          <w:szCs w:val="24"/>
          <w:lang w:val="es-ES"/>
        </w:rPr>
        <w:t>]</w:t>
      </w:r>
      <w:r w:rsidR="008B580F" w:rsidRPr="000D6D3D">
        <w:rPr>
          <w:rFonts w:ascii="Times New Roman" w:hAnsi="Times New Roman" w:cs="Times New Roman"/>
          <w:sz w:val="24"/>
          <w:szCs w:val="24"/>
          <w:lang w:val="es-ES"/>
        </w:rPr>
        <w:t xml:space="preserve">. Sin embargo, la mayoría fueron leves y no requirieron intervención médica, lo que es consistente con lo identificado en estos mismos estudios. </w:t>
      </w:r>
      <w:r w:rsidR="00076D63" w:rsidRPr="000D6D3D">
        <w:rPr>
          <w:rFonts w:ascii="Times New Roman" w:hAnsi="Times New Roman" w:cs="Times New Roman"/>
          <w:sz w:val="24"/>
          <w:szCs w:val="24"/>
          <w:lang w:val="es-ES"/>
        </w:rPr>
        <w:t>En nuestro estudio, s</w:t>
      </w:r>
      <w:r w:rsidR="008B580F" w:rsidRPr="000D6D3D">
        <w:rPr>
          <w:rFonts w:ascii="Times New Roman" w:hAnsi="Times New Roman" w:cs="Times New Roman"/>
          <w:sz w:val="24"/>
          <w:szCs w:val="24"/>
          <w:lang w:val="es-ES"/>
        </w:rPr>
        <w:t>olo 1 de las 34 transaminitis fue clasificada como severa y correspondió a un paciente que previo al uso de TCZ tenía valores de transaminasas sobre el rango de normalidad.</w:t>
      </w:r>
      <w:r w:rsidR="008B580F" w:rsidRPr="000D6D3D">
        <w:rPr>
          <w:rFonts w:ascii="Times New Roman" w:hAnsi="Times New Roman" w:cs="Times New Roman"/>
          <w:color w:val="000000" w:themeColor="text1"/>
          <w:sz w:val="24"/>
          <w:szCs w:val="24"/>
          <w:lang w:val="es-ES"/>
        </w:rPr>
        <w:t xml:space="preserve"> </w:t>
      </w:r>
      <w:r w:rsidR="00D45AF0" w:rsidRPr="000D6D3D">
        <w:rPr>
          <w:rFonts w:ascii="Times New Roman" w:hAnsi="Times New Roman" w:cs="Times New Roman"/>
          <w:color w:val="4472C4" w:themeColor="accent5"/>
          <w:sz w:val="24"/>
          <w:szCs w:val="24"/>
          <w:lang w:val="es-ES"/>
        </w:rPr>
        <w:t>Si bien s</w:t>
      </w:r>
      <w:r w:rsidR="008B580F" w:rsidRPr="000D6D3D">
        <w:rPr>
          <w:rFonts w:ascii="Times New Roman" w:hAnsi="Times New Roman" w:cs="Times New Roman"/>
          <w:color w:val="4472C4" w:themeColor="accent5"/>
          <w:sz w:val="24"/>
          <w:szCs w:val="24"/>
          <w:lang w:val="es-ES"/>
        </w:rPr>
        <w:t xml:space="preserve">e desconoce el mecanismo </w:t>
      </w:r>
      <w:r w:rsidR="00D45AF0" w:rsidRPr="000D6D3D">
        <w:rPr>
          <w:rFonts w:ascii="Times New Roman" w:hAnsi="Times New Roman" w:cs="Times New Roman"/>
          <w:color w:val="4472C4" w:themeColor="accent5"/>
          <w:sz w:val="24"/>
          <w:szCs w:val="24"/>
          <w:lang w:val="es-ES"/>
        </w:rPr>
        <w:t xml:space="preserve">exacto </w:t>
      </w:r>
      <w:r w:rsidR="008B580F" w:rsidRPr="000D6D3D">
        <w:rPr>
          <w:rFonts w:ascii="Times New Roman" w:hAnsi="Times New Roman" w:cs="Times New Roman"/>
          <w:color w:val="4472C4" w:themeColor="accent5"/>
          <w:sz w:val="24"/>
          <w:szCs w:val="24"/>
          <w:lang w:val="es-ES"/>
        </w:rPr>
        <w:t xml:space="preserve">por </w:t>
      </w:r>
      <w:r w:rsidR="00D26914" w:rsidRPr="000D6D3D">
        <w:rPr>
          <w:rFonts w:ascii="Times New Roman" w:hAnsi="Times New Roman" w:cs="Times New Roman"/>
          <w:color w:val="4472C4" w:themeColor="accent5"/>
          <w:sz w:val="24"/>
          <w:szCs w:val="24"/>
          <w:lang w:val="es-ES"/>
        </w:rPr>
        <w:t>el cual TCZ causa daño hepático</w:t>
      </w:r>
      <w:r w:rsidR="00D45AF0" w:rsidRPr="000D6D3D">
        <w:rPr>
          <w:rFonts w:ascii="Times New Roman" w:hAnsi="Times New Roman" w:cs="Times New Roman"/>
          <w:color w:val="4472C4" w:themeColor="accent5"/>
          <w:sz w:val="24"/>
          <w:szCs w:val="24"/>
          <w:lang w:val="es-ES"/>
        </w:rPr>
        <w:t>,</w:t>
      </w:r>
      <w:r w:rsidR="00D26914" w:rsidRPr="000D6D3D">
        <w:rPr>
          <w:rFonts w:ascii="Times New Roman" w:hAnsi="Times New Roman" w:cs="Times New Roman"/>
          <w:color w:val="4472C4" w:themeColor="accent5"/>
          <w:sz w:val="24"/>
          <w:szCs w:val="24"/>
          <w:lang w:val="es-ES"/>
        </w:rPr>
        <w:t xml:space="preserve"> pues su metabolismo es mínimo</w:t>
      </w:r>
      <w:r w:rsidR="00D45AF0" w:rsidRPr="000D6D3D">
        <w:rPr>
          <w:rFonts w:ascii="Times New Roman" w:hAnsi="Times New Roman" w:cs="Times New Roman"/>
          <w:color w:val="4472C4" w:themeColor="accent5"/>
          <w:sz w:val="24"/>
          <w:szCs w:val="24"/>
          <w:lang w:val="es-ES"/>
        </w:rPr>
        <w:t>,</w:t>
      </w:r>
      <w:r w:rsidR="00DA38F0" w:rsidRPr="000D6D3D">
        <w:rPr>
          <w:rFonts w:ascii="Times New Roman" w:hAnsi="Times New Roman" w:cs="Times New Roman"/>
          <w:color w:val="4472C4" w:themeColor="accent5"/>
          <w:sz w:val="24"/>
          <w:szCs w:val="24"/>
          <w:lang w:val="es-ES"/>
        </w:rPr>
        <w:t xml:space="preserve"> </w:t>
      </w:r>
      <w:r w:rsidR="00D45AF0" w:rsidRPr="000D6D3D">
        <w:rPr>
          <w:rFonts w:ascii="Times New Roman" w:hAnsi="Times New Roman" w:cs="Times New Roman"/>
          <w:color w:val="4472C4" w:themeColor="accent5"/>
          <w:sz w:val="24"/>
          <w:szCs w:val="24"/>
          <w:lang w:val="es-ES"/>
        </w:rPr>
        <w:t>s</w:t>
      </w:r>
      <w:r w:rsidR="00DA38F0" w:rsidRPr="000D6D3D">
        <w:rPr>
          <w:rFonts w:ascii="Times New Roman" w:hAnsi="Times New Roman" w:cs="Times New Roman"/>
          <w:color w:val="4472C4" w:themeColor="accent5"/>
          <w:sz w:val="24"/>
          <w:szCs w:val="24"/>
          <w:lang w:val="es-ES"/>
        </w:rPr>
        <w:t>e ha planteado</w:t>
      </w:r>
      <w:r w:rsidR="00D26914" w:rsidRPr="000D6D3D">
        <w:rPr>
          <w:rFonts w:ascii="Times New Roman" w:hAnsi="Times New Roman" w:cs="Times New Roman"/>
          <w:color w:val="4472C4" w:themeColor="accent5"/>
          <w:sz w:val="24"/>
          <w:szCs w:val="24"/>
          <w:lang w:val="es-ES"/>
        </w:rPr>
        <w:t xml:space="preserve"> </w:t>
      </w:r>
      <w:r w:rsidR="00DA38F0" w:rsidRPr="000D6D3D">
        <w:rPr>
          <w:rFonts w:ascii="Times New Roman" w:hAnsi="Times New Roman" w:cs="Times New Roman"/>
          <w:color w:val="4472C4" w:themeColor="accent5"/>
          <w:sz w:val="24"/>
          <w:szCs w:val="24"/>
          <w:lang w:val="es-ES"/>
        </w:rPr>
        <w:t>que</w:t>
      </w:r>
      <w:r w:rsidR="00D26914" w:rsidRPr="000D6D3D">
        <w:rPr>
          <w:rFonts w:ascii="Times New Roman" w:hAnsi="Times New Roman" w:cs="Times New Roman"/>
          <w:color w:val="4472C4" w:themeColor="accent5"/>
          <w:sz w:val="24"/>
          <w:szCs w:val="24"/>
          <w:lang w:val="es-ES"/>
        </w:rPr>
        <w:t xml:space="preserve"> su efecto inhibidor </w:t>
      </w:r>
      <w:r w:rsidR="008B580F" w:rsidRPr="000D6D3D">
        <w:rPr>
          <w:rFonts w:ascii="Times New Roman" w:hAnsi="Times New Roman" w:cs="Times New Roman"/>
          <w:color w:val="4472C4" w:themeColor="accent5"/>
          <w:sz w:val="24"/>
          <w:szCs w:val="24"/>
          <w:lang w:val="es-ES"/>
        </w:rPr>
        <w:t xml:space="preserve">de la IL-6 </w:t>
      </w:r>
      <w:r w:rsidR="00D45AF0" w:rsidRPr="000D6D3D">
        <w:rPr>
          <w:rFonts w:ascii="Times New Roman" w:hAnsi="Times New Roman" w:cs="Times New Roman"/>
          <w:color w:val="4472C4" w:themeColor="accent5"/>
          <w:sz w:val="24"/>
          <w:szCs w:val="24"/>
          <w:lang w:val="es-ES"/>
        </w:rPr>
        <w:t>podría interferir en el proceso de</w:t>
      </w:r>
      <w:r w:rsidR="008B580F" w:rsidRPr="000D6D3D">
        <w:rPr>
          <w:rFonts w:ascii="Times New Roman" w:hAnsi="Times New Roman" w:cs="Times New Roman"/>
          <w:color w:val="4472C4" w:themeColor="accent5"/>
          <w:sz w:val="24"/>
          <w:szCs w:val="24"/>
          <w:lang w:val="es-ES"/>
        </w:rPr>
        <w:t xml:space="preserve"> regeneración del hígado </w:t>
      </w:r>
      <w:r w:rsidR="008B580F" w:rsidRPr="000D6D3D">
        <w:rPr>
          <w:rFonts w:ascii="Times New Roman" w:hAnsi="Times New Roman" w:cs="Times New Roman"/>
          <w:color w:val="000000" w:themeColor="text1"/>
          <w:sz w:val="24"/>
          <w:szCs w:val="24"/>
          <w:lang w:val="es-ES"/>
        </w:rPr>
        <w:t>[</w:t>
      </w:r>
      <w:r w:rsidR="009B7E98" w:rsidRPr="000D6D3D">
        <w:rPr>
          <w:rFonts w:ascii="Times New Roman" w:hAnsi="Times New Roman" w:cs="Times New Roman"/>
          <w:color w:val="000000" w:themeColor="text1"/>
          <w:sz w:val="24"/>
          <w:szCs w:val="24"/>
          <w:lang w:val="es-ES"/>
        </w:rPr>
        <w:t>19</w:t>
      </w:r>
      <w:r w:rsidR="008B580F" w:rsidRPr="000D6D3D">
        <w:rPr>
          <w:rFonts w:ascii="Times New Roman" w:hAnsi="Times New Roman" w:cs="Times New Roman"/>
          <w:color w:val="000000" w:themeColor="text1"/>
          <w:sz w:val="24"/>
          <w:szCs w:val="24"/>
          <w:lang w:val="es-ES"/>
        </w:rPr>
        <w:t>].</w:t>
      </w:r>
      <w:r w:rsidR="00C148E1" w:rsidRPr="000D6D3D">
        <w:rPr>
          <w:rFonts w:ascii="Times New Roman" w:hAnsi="Times New Roman" w:cs="Times New Roman"/>
          <w:color w:val="000000" w:themeColor="text1"/>
          <w:sz w:val="24"/>
          <w:szCs w:val="24"/>
          <w:lang w:val="es-ES"/>
        </w:rPr>
        <w:t xml:space="preserve"> </w:t>
      </w:r>
      <w:r w:rsidR="008B580F" w:rsidRPr="000D6D3D">
        <w:rPr>
          <w:rFonts w:ascii="Times New Roman" w:hAnsi="Times New Roman" w:cs="Times New Roman"/>
          <w:color w:val="000000" w:themeColor="text1"/>
          <w:sz w:val="24"/>
          <w:szCs w:val="24"/>
          <w:lang w:val="es-ES"/>
        </w:rPr>
        <w:t xml:space="preserve">De acuerdo a la evaluación de causalidad, el mayor porcentaje de transaminitis fueron clasificados como </w:t>
      </w:r>
      <w:r w:rsidR="008B580F" w:rsidRPr="000D6D3D">
        <w:rPr>
          <w:rFonts w:ascii="Times New Roman" w:hAnsi="Times New Roman" w:cs="Times New Roman"/>
          <w:i/>
          <w:sz w:val="24"/>
          <w:szCs w:val="24"/>
          <w:lang w:val="es-ES"/>
        </w:rPr>
        <w:t>Posibles</w:t>
      </w:r>
      <w:r w:rsidR="008B580F" w:rsidRPr="000D6D3D">
        <w:rPr>
          <w:rFonts w:ascii="Times New Roman" w:hAnsi="Times New Roman" w:cs="Times New Roman"/>
          <w:sz w:val="24"/>
          <w:szCs w:val="24"/>
          <w:lang w:val="es-ES"/>
        </w:rPr>
        <w:t xml:space="preserve"> (52,9%), dado que los sujetos </w:t>
      </w:r>
      <w:r w:rsidR="009E1A69" w:rsidRPr="000D6D3D">
        <w:rPr>
          <w:rFonts w:ascii="Times New Roman" w:hAnsi="Times New Roman" w:cs="Times New Roman"/>
          <w:sz w:val="24"/>
          <w:szCs w:val="24"/>
          <w:lang w:val="es-ES"/>
        </w:rPr>
        <w:t>presentaban</w:t>
      </w:r>
      <w:r w:rsidR="008B580F" w:rsidRPr="000D6D3D">
        <w:rPr>
          <w:rFonts w:ascii="Times New Roman" w:hAnsi="Times New Roman" w:cs="Times New Roman"/>
          <w:sz w:val="24"/>
          <w:szCs w:val="24"/>
          <w:lang w:val="es-ES"/>
        </w:rPr>
        <w:t xml:space="preserve"> otras causas </w:t>
      </w:r>
      <w:r w:rsidR="009E1A69" w:rsidRPr="000D6D3D">
        <w:rPr>
          <w:rFonts w:ascii="Times New Roman" w:hAnsi="Times New Roman" w:cs="Times New Roman"/>
          <w:sz w:val="24"/>
          <w:szCs w:val="24"/>
          <w:lang w:val="es-ES"/>
        </w:rPr>
        <w:t>que también se asocian</w:t>
      </w:r>
      <w:r w:rsidR="008B580F" w:rsidRPr="000D6D3D">
        <w:rPr>
          <w:rFonts w:ascii="Times New Roman" w:hAnsi="Times New Roman" w:cs="Times New Roman"/>
          <w:sz w:val="24"/>
          <w:szCs w:val="24"/>
          <w:lang w:val="es-ES"/>
        </w:rPr>
        <w:t xml:space="preserve"> al aumento de las enzimas hepáticas, </w:t>
      </w:r>
      <w:r w:rsidR="009E1A69" w:rsidRPr="000D6D3D">
        <w:rPr>
          <w:rFonts w:ascii="Times New Roman" w:hAnsi="Times New Roman" w:cs="Times New Roman"/>
          <w:sz w:val="24"/>
          <w:szCs w:val="24"/>
          <w:lang w:val="es-ES"/>
        </w:rPr>
        <w:t>principalmente el cursar con</w:t>
      </w:r>
      <w:r w:rsidR="008B580F" w:rsidRPr="000D6D3D">
        <w:rPr>
          <w:rFonts w:ascii="Times New Roman" w:hAnsi="Times New Roman" w:cs="Times New Roman"/>
          <w:sz w:val="24"/>
          <w:szCs w:val="24"/>
          <w:lang w:val="es-ES"/>
        </w:rPr>
        <w:t xml:space="preserve"> </w:t>
      </w:r>
      <w:r w:rsidR="009E1A69" w:rsidRPr="000D6D3D">
        <w:rPr>
          <w:rFonts w:ascii="Times New Roman" w:hAnsi="Times New Roman" w:cs="Times New Roman"/>
          <w:sz w:val="24"/>
          <w:szCs w:val="24"/>
          <w:lang w:val="es-ES"/>
        </w:rPr>
        <w:t>sepsis</w:t>
      </w:r>
      <w:r w:rsidR="008B580F" w:rsidRPr="000D6D3D">
        <w:rPr>
          <w:rFonts w:ascii="Times New Roman" w:hAnsi="Times New Roman" w:cs="Times New Roman"/>
          <w:sz w:val="24"/>
          <w:szCs w:val="24"/>
          <w:lang w:val="es-ES"/>
        </w:rPr>
        <w:t xml:space="preserve"> </w:t>
      </w:r>
      <w:r w:rsidR="009E1A69" w:rsidRPr="000D6D3D">
        <w:rPr>
          <w:rFonts w:ascii="Times New Roman" w:hAnsi="Times New Roman" w:cs="Times New Roman"/>
          <w:sz w:val="24"/>
          <w:szCs w:val="24"/>
          <w:lang w:val="es-ES"/>
        </w:rPr>
        <w:t>y el uso de otros medicamentos con potencial hepatotóxico</w:t>
      </w:r>
      <w:r w:rsidR="008B580F" w:rsidRPr="000D6D3D">
        <w:rPr>
          <w:rFonts w:ascii="Times New Roman" w:hAnsi="Times New Roman" w:cs="Times New Roman"/>
          <w:sz w:val="24"/>
          <w:szCs w:val="24"/>
          <w:lang w:val="es-ES"/>
        </w:rPr>
        <w:t xml:space="preserve">. El 29,4% de estas RAM fueron clasificadas como </w:t>
      </w:r>
      <w:r w:rsidR="008B580F" w:rsidRPr="000D6D3D">
        <w:rPr>
          <w:rFonts w:ascii="Times New Roman" w:hAnsi="Times New Roman" w:cs="Times New Roman"/>
          <w:i/>
          <w:sz w:val="24"/>
          <w:szCs w:val="24"/>
          <w:lang w:val="es-ES"/>
        </w:rPr>
        <w:t xml:space="preserve">Definitivamente Prevenibles, </w:t>
      </w:r>
      <w:r w:rsidR="008B580F" w:rsidRPr="000D6D3D">
        <w:rPr>
          <w:rFonts w:ascii="Times New Roman" w:hAnsi="Times New Roman" w:cs="Times New Roman"/>
          <w:sz w:val="24"/>
          <w:szCs w:val="24"/>
          <w:lang w:val="es-ES"/>
        </w:rPr>
        <w:t xml:space="preserve">porque los pacientes tenían previo a la dosis de TCZ valores de transaminasas 1,5 veces el límite superior normal. Según la recomendación en </w:t>
      </w:r>
      <w:r w:rsidR="00675C9B" w:rsidRPr="000D6D3D">
        <w:rPr>
          <w:rFonts w:ascii="Times New Roman" w:hAnsi="Times New Roman" w:cs="Times New Roman"/>
          <w:sz w:val="24"/>
          <w:szCs w:val="24"/>
          <w:lang w:val="es-ES"/>
        </w:rPr>
        <w:t>artritis</w:t>
      </w:r>
      <w:r w:rsidR="008B580F" w:rsidRPr="000D6D3D">
        <w:rPr>
          <w:rFonts w:ascii="Times New Roman" w:hAnsi="Times New Roman" w:cs="Times New Roman"/>
          <w:sz w:val="24"/>
          <w:szCs w:val="24"/>
          <w:lang w:val="es-ES"/>
        </w:rPr>
        <w:t xml:space="preserve"> </w:t>
      </w:r>
      <w:r w:rsidR="00675C9B" w:rsidRPr="000D6D3D">
        <w:rPr>
          <w:rFonts w:ascii="Times New Roman" w:hAnsi="Times New Roman" w:cs="Times New Roman"/>
          <w:sz w:val="24"/>
          <w:szCs w:val="24"/>
          <w:lang w:val="es-ES"/>
        </w:rPr>
        <w:t>reumatoide</w:t>
      </w:r>
      <w:r w:rsidR="008B580F" w:rsidRPr="000D6D3D">
        <w:rPr>
          <w:rFonts w:ascii="Times New Roman" w:hAnsi="Times New Roman" w:cs="Times New Roman"/>
          <w:sz w:val="24"/>
          <w:szCs w:val="24"/>
          <w:lang w:val="es-ES"/>
        </w:rPr>
        <w:t>, se sugiere no administrar TCZ en pacientes con esto</w:t>
      </w:r>
      <w:r w:rsidR="008D5764" w:rsidRPr="000D6D3D">
        <w:rPr>
          <w:rFonts w:ascii="Times New Roman" w:hAnsi="Times New Roman" w:cs="Times New Roman"/>
          <w:sz w:val="24"/>
          <w:szCs w:val="24"/>
          <w:lang w:val="es-ES"/>
        </w:rPr>
        <w:t>s valores de enzimas hepáticas [</w:t>
      </w:r>
      <w:r w:rsidR="009B7E98" w:rsidRPr="000D6D3D">
        <w:rPr>
          <w:rFonts w:ascii="Times New Roman" w:hAnsi="Times New Roman" w:cs="Times New Roman"/>
          <w:sz w:val="24"/>
          <w:szCs w:val="24"/>
          <w:lang w:val="es-ES"/>
        </w:rPr>
        <w:t>1</w:t>
      </w:r>
      <w:r w:rsidR="00076D63" w:rsidRPr="000D6D3D">
        <w:rPr>
          <w:rFonts w:ascii="Times New Roman" w:hAnsi="Times New Roman" w:cs="Times New Roman"/>
          <w:sz w:val="24"/>
          <w:szCs w:val="24"/>
          <w:lang w:val="es-ES"/>
        </w:rPr>
        <w:t>4</w:t>
      </w:r>
      <w:r w:rsidR="008D5764" w:rsidRPr="000D6D3D">
        <w:rPr>
          <w:rFonts w:ascii="Times New Roman" w:hAnsi="Times New Roman" w:cs="Times New Roman"/>
          <w:sz w:val="24"/>
          <w:szCs w:val="24"/>
          <w:lang w:val="es-ES"/>
        </w:rPr>
        <w:t>]</w:t>
      </w:r>
      <w:r w:rsidR="008B580F" w:rsidRPr="000D6D3D">
        <w:rPr>
          <w:rFonts w:ascii="Times New Roman" w:hAnsi="Times New Roman" w:cs="Times New Roman"/>
          <w:sz w:val="24"/>
          <w:szCs w:val="24"/>
          <w:lang w:val="es-ES"/>
        </w:rPr>
        <w:t>.</w:t>
      </w:r>
    </w:p>
    <w:p w:rsidR="008B580F" w:rsidRPr="000D6D3D" w:rsidRDefault="008B580F" w:rsidP="00CF0B2C">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sz w:val="24"/>
          <w:szCs w:val="24"/>
          <w:lang w:val="es-ES"/>
        </w:rPr>
        <w:t xml:space="preserve"> </w:t>
      </w:r>
    </w:p>
    <w:p w:rsidR="00A518EA" w:rsidRPr="000D6D3D" w:rsidRDefault="008B580F" w:rsidP="001579B0">
      <w:pPr>
        <w:spacing w:after="0" w:line="360" w:lineRule="auto"/>
        <w:jc w:val="both"/>
        <w:rPr>
          <w:rFonts w:ascii="Times New Roman" w:hAnsi="Times New Roman" w:cs="Times New Roman"/>
          <w:color w:val="FF0000"/>
          <w:sz w:val="24"/>
          <w:szCs w:val="24"/>
          <w:shd w:val="clear" w:color="auto" w:fill="FFFFFF"/>
        </w:rPr>
      </w:pPr>
      <w:r w:rsidRPr="000D6D3D">
        <w:rPr>
          <w:rFonts w:ascii="Times New Roman" w:hAnsi="Times New Roman" w:cs="Times New Roman"/>
          <w:sz w:val="24"/>
          <w:szCs w:val="24"/>
          <w:lang w:val="es-ES"/>
        </w:rPr>
        <w:t xml:space="preserve">La IA de trombocitopenia observada en nuestro estudio fue de </w:t>
      </w:r>
      <w:r w:rsidRPr="000D6D3D">
        <w:rPr>
          <w:rFonts w:ascii="Times New Roman" w:eastAsia="Times New Roman" w:hAnsi="Times New Roman" w:cs="Times New Roman"/>
          <w:sz w:val="24"/>
          <w:szCs w:val="24"/>
          <w:lang w:eastAsia="es-CL"/>
        </w:rPr>
        <w:t>21,4%, mayor a lo reportado en otro estudio observacional de COVID-19 (14%) [</w:t>
      </w:r>
      <w:r w:rsidR="0080042E" w:rsidRPr="000D6D3D">
        <w:rPr>
          <w:rFonts w:ascii="Times New Roman" w:eastAsia="Times New Roman" w:hAnsi="Times New Roman" w:cs="Times New Roman"/>
          <w:sz w:val="24"/>
          <w:szCs w:val="24"/>
          <w:lang w:eastAsia="es-CL"/>
        </w:rPr>
        <w:t>20</w:t>
      </w:r>
      <w:r w:rsidRPr="000D6D3D">
        <w:rPr>
          <w:rFonts w:ascii="Times New Roman" w:eastAsia="Times New Roman" w:hAnsi="Times New Roman" w:cs="Times New Roman"/>
          <w:sz w:val="24"/>
          <w:szCs w:val="24"/>
          <w:lang w:eastAsia="es-CL"/>
        </w:rPr>
        <w:t xml:space="preserve">]. </w:t>
      </w:r>
      <w:r w:rsidR="007034DD" w:rsidRPr="000D6D3D">
        <w:rPr>
          <w:rFonts w:ascii="Times New Roman" w:hAnsi="Times New Roman" w:cs="Times New Roman"/>
          <w:sz w:val="24"/>
          <w:szCs w:val="24"/>
          <w:lang w:val="es-ES"/>
        </w:rPr>
        <w:t>En los principales ECA no se reportó ocurrencia de trombocitopenia en mayor proporción que la rama placebo [</w:t>
      </w:r>
      <w:r w:rsidR="005D10B9" w:rsidRPr="000D6D3D">
        <w:rPr>
          <w:rFonts w:ascii="Times New Roman" w:hAnsi="Times New Roman" w:cs="Times New Roman"/>
          <w:sz w:val="24"/>
          <w:szCs w:val="24"/>
          <w:lang w:val="es-ES"/>
        </w:rPr>
        <w:t>4</w:t>
      </w:r>
      <w:proofErr w:type="gramStart"/>
      <w:r w:rsidR="005D10B9" w:rsidRPr="000D6D3D">
        <w:rPr>
          <w:rFonts w:ascii="Times New Roman" w:hAnsi="Times New Roman" w:cs="Times New Roman"/>
          <w:sz w:val="24"/>
          <w:szCs w:val="24"/>
          <w:lang w:val="es-ES"/>
        </w:rPr>
        <w:t>,5,</w:t>
      </w:r>
      <w:r w:rsidR="007034DD" w:rsidRPr="000D6D3D">
        <w:rPr>
          <w:rFonts w:ascii="Times New Roman" w:hAnsi="Times New Roman" w:cs="Times New Roman"/>
          <w:sz w:val="24"/>
          <w:szCs w:val="24"/>
          <w:lang w:val="es-ES"/>
        </w:rPr>
        <w:t>10</w:t>
      </w:r>
      <w:proofErr w:type="gramEnd"/>
      <w:r w:rsidR="007034DD" w:rsidRPr="000D6D3D">
        <w:rPr>
          <w:rFonts w:ascii="Times New Roman" w:hAnsi="Times New Roman" w:cs="Times New Roman"/>
          <w:sz w:val="24"/>
          <w:szCs w:val="24"/>
          <w:lang w:val="es-ES"/>
        </w:rPr>
        <w:t>]. En nuestro estudio l</w:t>
      </w:r>
      <w:r w:rsidRPr="000D6D3D">
        <w:rPr>
          <w:rFonts w:ascii="Times New Roman" w:hAnsi="Times New Roman" w:cs="Times New Roman"/>
          <w:sz w:val="24"/>
          <w:szCs w:val="24"/>
          <w:lang w:val="es-ES"/>
        </w:rPr>
        <w:t xml:space="preserve">a mayoría de estas RAM fueron leves y </w:t>
      </w:r>
      <w:r w:rsidR="00927D53" w:rsidRPr="000D6D3D">
        <w:rPr>
          <w:rFonts w:ascii="Times New Roman" w:hAnsi="Times New Roman" w:cs="Times New Roman"/>
          <w:sz w:val="24"/>
          <w:szCs w:val="24"/>
          <w:lang w:val="es-ES"/>
        </w:rPr>
        <w:t xml:space="preserve">en </w:t>
      </w:r>
      <w:r w:rsidRPr="000D6D3D">
        <w:rPr>
          <w:rFonts w:ascii="Times New Roman" w:hAnsi="Times New Roman" w:cs="Times New Roman"/>
          <w:sz w:val="24"/>
          <w:szCs w:val="24"/>
          <w:lang w:val="es-ES"/>
        </w:rPr>
        <w:t xml:space="preserve">solo </w:t>
      </w:r>
      <w:r w:rsidR="00927D53" w:rsidRPr="000D6D3D">
        <w:rPr>
          <w:rFonts w:ascii="Times New Roman" w:hAnsi="Times New Roman" w:cs="Times New Roman"/>
          <w:sz w:val="24"/>
          <w:szCs w:val="24"/>
          <w:lang w:val="es-ES"/>
        </w:rPr>
        <w:t>3 pacientes</w:t>
      </w:r>
      <w:r w:rsidRPr="000D6D3D">
        <w:rPr>
          <w:rFonts w:ascii="Times New Roman" w:hAnsi="Times New Roman" w:cs="Times New Roman"/>
          <w:sz w:val="24"/>
          <w:szCs w:val="24"/>
          <w:lang w:val="es-ES"/>
        </w:rPr>
        <w:t xml:space="preserve"> fue </w:t>
      </w:r>
      <w:r w:rsidR="00927D53" w:rsidRPr="000D6D3D">
        <w:rPr>
          <w:rFonts w:ascii="Times New Roman" w:hAnsi="Times New Roman" w:cs="Times New Roman"/>
          <w:sz w:val="24"/>
          <w:szCs w:val="24"/>
          <w:lang w:val="es-ES"/>
        </w:rPr>
        <w:t>severa</w:t>
      </w:r>
      <w:r w:rsidRPr="000D6D3D">
        <w:rPr>
          <w:rFonts w:ascii="Times New Roman" w:hAnsi="Times New Roman" w:cs="Times New Roman"/>
          <w:sz w:val="24"/>
          <w:szCs w:val="24"/>
          <w:lang w:val="es-ES"/>
        </w:rPr>
        <w:t xml:space="preserve">, pero no requirieron transfusión de hemoderivados o agonistas del receptor de trombopoyetina. </w:t>
      </w:r>
      <w:r w:rsidR="005A7E19" w:rsidRPr="000D6D3D">
        <w:rPr>
          <w:rFonts w:ascii="Times New Roman" w:hAnsi="Times New Roman" w:cs="Times New Roman"/>
          <w:sz w:val="24"/>
          <w:szCs w:val="24"/>
          <w:lang w:val="es-ES"/>
        </w:rPr>
        <w:t>L</w:t>
      </w:r>
      <w:r w:rsidRPr="000D6D3D">
        <w:rPr>
          <w:rFonts w:ascii="Times New Roman" w:hAnsi="Times New Roman" w:cs="Times New Roman"/>
          <w:sz w:val="24"/>
          <w:szCs w:val="24"/>
          <w:lang w:val="es-ES"/>
        </w:rPr>
        <w:t xml:space="preserve">as trombocitopenias fueron clasificadas mayoritariamente como eventos </w:t>
      </w:r>
      <w:r w:rsidRPr="000D6D3D">
        <w:rPr>
          <w:rFonts w:ascii="Times New Roman" w:hAnsi="Times New Roman" w:cs="Times New Roman"/>
          <w:i/>
          <w:sz w:val="24"/>
          <w:szCs w:val="24"/>
          <w:lang w:val="es-ES"/>
        </w:rPr>
        <w:lastRenderedPageBreak/>
        <w:t xml:space="preserve">Probables </w:t>
      </w:r>
      <w:r w:rsidRPr="000D6D3D">
        <w:rPr>
          <w:rFonts w:ascii="Times New Roman" w:hAnsi="Times New Roman" w:cs="Times New Roman"/>
          <w:sz w:val="24"/>
          <w:szCs w:val="24"/>
          <w:lang w:val="es-ES"/>
        </w:rPr>
        <w:t>(11 de 12)</w:t>
      </w:r>
      <w:r w:rsidRPr="000D6D3D">
        <w:rPr>
          <w:rFonts w:ascii="Times New Roman" w:hAnsi="Times New Roman" w:cs="Times New Roman"/>
          <w:i/>
          <w:sz w:val="24"/>
          <w:szCs w:val="24"/>
          <w:lang w:val="es-ES"/>
        </w:rPr>
        <w:t xml:space="preserve"> </w:t>
      </w:r>
      <w:r w:rsidRPr="000D6D3D">
        <w:rPr>
          <w:rFonts w:ascii="Times New Roman" w:hAnsi="Times New Roman" w:cs="Times New Roman"/>
          <w:sz w:val="24"/>
          <w:szCs w:val="24"/>
          <w:lang w:val="es-ES"/>
        </w:rPr>
        <w:t xml:space="preserve">y </w:t>
      </w:r>
      <w:r w:rsidRPr="000D6D3D">
        <w:rPr>
          <w:rFonts w:ascii="Times New Roman" w:hAnsi="Times New Roman" w:cs="Times New Roman"/>
          <w:i/>
          <w:sz w:val="24"/>
          <w:szCs w:val="24"/>
          <w:lang w:val="es-ES"/>
        </w:rPr>
        <w:t xml:space="preserve">No Prevenibles </w:t>
      </w:r>
      <w:r w:rsidR="00F52A1E" w:rsidRPr="000D6D3D">
        <w:rPr>
          <w:rFonts w:ascii="Times New Roman" w:hAnsi="Times New Roman" w:cs="Times New Roman"/>
          <w:sz w:val="24"/>
          <w:szCs w:val="24"/>
          <w:lang w:val="es-ES"/>
        </w:rPr>
        <w:t>(10 de 12) dado que no hubo otras causas asociadas a la RAM y el recuento plaquetario estaba en rango de normalidad previo a la administración del fármaco</w:t>
      </w:r>
      <w:r w:rsidR="006B025B" w:rsidRPr="000D6D3D">
        <w:rPr>
          <w:rFonts w:ascii="Times New Roman" w:hAnsi="Times New Roman" w:cs="Times New Roman"/>
          <w:sz w:val="24"/>
          <w:szCs w:val="24"/>
          <w:lang w:val="es-ES"/>
        </w:rPr>
        <w:t xml:space="preserve">. </w:t>
      </w:r>
      <w:r w:rsidR="00A73A70" w:rsidRPr="000D6D3D">
        <w:rPr>
          <w:rFonts w:ascii="Times New Roman" w:hAnsi="Times New Roman" w:cs="Times New Roman"/>
          <w:spacing w:val="4"/>
          <w:sz w:val="24"/>
          <w:szCs w:val="24"/>
        </w:rPr>
        <w:t>Solo</w:t>
      </w:r>
      <w:r w:rsidR="00A73A70" w:rsidRPr="000D6D3D">
        <w:rPr>
          <w:rFonts w:ascii="Times New Roman" w:hAnsi="Times New Roman" w:cs="Times New Roman"/>
          <w:sz w:val="24"/>
          <w:szCs w:val="24"/>
          <w:lang w:val="es-ES"/>
        </w:rPr>
        <w:t xml:space="preserve"> una RAM severa, de las tres observadas, fue clasificada como un evento </w:t>
      </w:r>
      <w:r w:rsidR="00A73A70" w:rsidRPr="000D6D3D">
        <w:rPr>
          <w:rFonts w:ascii="Times New Roman" w:hAnsi="Times New Roman" w:cs="Times New Roman"/>
          <w:i/>
          <w:sz w:val="24"/>
          <w:szCs w:val="24"/>
          <w:lang w:val="es-ES"/>
        </w:rPr>
        <w:t>Definitivamente Prevenible</w:t>
      </w:r>
      <w:r w:rsidR="00A73A70" w:rsidRPr="000D6D3D">
        <w:rPr>
          <w:rFonts w:ascii="Times New Roman" w:hAnsi="Times New Roman" w:cs="Times New Roman"/>
          <w:sz w:val="24"/>
          <w:szCs w:val="24"/>
          <w:lang w:val="es-ES"/>
        </w:rPr>
        <w:t xml:space="preserve"> debido a que la administración de TCZ se realizó a pesar de que el paciente tenía un recuento de plaquetas inferior a 100.000/mm</w:t>
      </w:r>
      <w:r w:rsidR="00A73A70" w:rsidRPr="000D6D3D">
        <w:rPr>
          <w:rFonts w:ascii="Times New Roman" w:hAnsi="Times New Roman" w:cs="Times New Roman"/>
          <w:sz w:val="24"/>
          <w:szCs w:val="24"/>
          <w:vertAlign w:val="superscript"/>
          <w:lang w:val="es-ES"/>
        </w:rPr>
        <w:t>3</w:t>
      </w:r>
      <w:r w:rsidR="00A73A70" w:rsidRPr="000D6D3D">
        <w:rPr>
          <w:rFonts w:ascii="Times New Roman" w:hAnsi="Times New Roman" w:cs="Times New Roman"/>
          <w:sz w:val="24"/>
          <w:szCs w:val="24"/>
          <w:lang w:val="es-ES"/>
        </w:rPr>
        <w:t xml:space="preserve">. </w:t>
      </w:r>
      <w:r w:rsidR="00A73A70" w:rsidRPr="000D6D3D">
        <w:rPr>
          <w:rFonts w:ascii="Times New Roman" w:hAnsi="Times New Roman" w:cs="Times New Roman"/>
          <w:color w:val="4472C4" w:themeColor="accent5"/>
          <w:sz w:val="24"/>
          <w:szCs w:val="24"/>
          <w:lang w:val="es-ES"/>
        </w:rPr>
        <w:t>No fueron realizados</w:t>
      </w:r>
      <w:r w:rsidR="00860358" w:rsidRPr="000D6D3D">
        <w:rPr>
          <w:rFonts w:ascii="Times New Roman" w:hAnsi="Times New Roman" w:cs="Times New Roman"/>
          <w:color w:val="4472C4" w:themeColor="accent5"/>
          <w:sz w:val="24"/>
          <w:szCs w:val="24"/>
          <w:lang w:val="es-ES"/>
        </w:rPr>
        <w:t xml:space="preserve"> análisis hematológicos adicionales</w:t>
      </w:r>
      <w:r w:rsidR="00F52A1E" w:rsidRPr="000D6D3D">
        <w:rPr>
          <w:rFonts w:ascii="Times New Roman" w:hAnsi="Times New Roman" w:cs="Times New Roman"/>
          <w:color w:val="4472C4" w:themeColor="accent5"/>
          <w:sz w:val="24"/>
          <w:szCs w:val="24"/>
          <w:lang w:val="es-ES"/>
        </w:rPr>
        <w:t xml:space="preserve">, </w:t>
      </w:r>
      <w:r w:rsidR="00927D53" w:rsidRPr="000D6D3D">
        <w:rPr>
          <w:rFonts w:ascii="Times New Roman" w:hAnsi="Times New Roman" w:cs="Times New Roman"/>
          <w:color w:val="4472C4" w:themeColor="accent5"/>
          <w:sz w:val="24"/>
          <w:szCs w:val="24"/>
          <w:lang w:val="es-ES"/>
        </w:rPr>
        <w:t>sin embargo</w:t>
      </w:r>
      <w:r w:rsidR="00860358" w:rsidRPr="000D6D3D">
        <w:rPr>
          <w:rFonts w:ascii="Times New Roman" w:hAnsi="Times New Roman" w:cs="Times New Roman"/>
          <w:color w:val="4472C4" w:themeColor="accent5"/>
          <w:sz w:val="24"/>
          <w:szCs w:val="24"/>
          <w:lang w:val="es-ES"/>
        </w:rPr>
        <w:t xml:space="preserve"> en la evaluación de causalidad </w:t>
      </w:r>
      <w:r w:rsidR="00F52A1E" w:rsidRPr="000D6D3D">
        <w:rPr>
          <w:rFonts w:ascii="Times New Roman" w:hAnsi="Times New Roman" w:cs="Times New Roman"/>
          <w:color w:val="4472C4" w:themeColor="accent5"/>
          <w:sz w:val="24"/>
          <w:szCs w:val="24"/>
          <w:lang w:val="es-ES"/>
        </w:rPr>
        <w:t>se excluyeron las causas más frecuentes como</w:t>
      </w:r>
      <w:r w:rsidR="001579B0" w:rsidRPr="000D6D3D">
        <w:rPr>
          <w:rFonts w:ascii="Times New Roman" w:hAnsi="Times New Roman" w:cs="Times New Roman"/>
          <w:color w:val="4472C4" w:themeColor="accent5"/>
          <w:sz w:val="24"/>
          <w:szCs w:val="24"/>
          <w:lang w:val="es-ES"/>
        </w:rPr>
        <w:t xml:space="preserve"> sepsis, </w:t>
      </w:r>
      <w:r w:rsidR="00F52A1E" w:rsidRPr="000D6D3D">
        <w:rPr>
          <w:rFonts w:ascii="Times New Roman" w:hAnsi="Times New Roman" w:cs="Times New Roman"/>
          <w:color w:val="4472C4" w:themeColor="accent5"/>
          <w:sz w:val="24"/>
          <w:szCs w:val="24"/>
          <w:lang w:val="es-ES"/>
        </w:rPr>
        <w:t>el uso de otros fármacos</w:t>
      </w:r>
      <w:r w:rsidR="000211E9" w:rsidRPr="000D6D3D">
        <w:rPr>
          <w:rFonts w:ascii="Times New Roman" w:hAnsi="Times New Roman" w:cs="Times New Roman"/>
          <w:color w:val="4472C4" w:themeColor="accent5"/>
          <w:sz w:val="24"/>
          <w:szCs w:val="24"/>
          <w:lang w:val="es-ES"/>
        </w:rPr>
        <w:t xml:space="preserve"> con toxicidad hematológica</w:t>
      </w:r>
      <w:r w:rsidR="001579B0" w:rsidRPr="000D6D3D">
        <w:rPr>
          <w:rFonts w:ascii="Times New Roman" w:hAnsi="Times New Roman" w:cs="Times New Roman"/>
          <w:sz w:val="24"/>
          <w:szCs w:val="24"/>
          <w:lang w:val="es-ES"/>
        </w:rPr>
        <w:t xml:space="preserve"> </w:t>
      </w:r>
      <w:r w:rsidR="001579B0" w:rsidRPr="000D6D3D">
        <w:rPr>
          <w:rFonts w:ascii="Times New Roman" w:hAnsi="Times New Roman" w:cs="Times New Roman"/>
          <w:color w:val="4472C4" w:themeColor="accent5"/>
          <w:sz w:val="24"/>
          <w:szCs w:val="24"/>
          <w:lang w:val="es-ES"/>
        </w:rPr>
        <w:t>y</w:t>
      </w:r>
      <w:r w:rsidRPr="000D6D3D">
        <w:rPr>
          <w:rFonts w:ascii="Times New Roman" w:hAnsi="Times New Roman" w:cs="Times New Roman"/>
          <w:color w:val="4472C4" w:themeColor="accent5"/>
          <w:sz w:val="24"/>
          <w:szCs w:val="24"/>
          <w:lang w:val="es-ES"/>
        </w:rPr>
        <w:t xml:space="preserve"> fue desestimada la trombocitopenia inducida por heparina (HIT) dado </w:t>
      </w:r>
      <w:r w:rsidR="005071F0" w:rsidRPr="000D6D3D">
        <w:rPr>
          <w:rFonts w:ascii="Times New Roman" w:hAnsi="Times New Roman" w:cs="Times New Roman"/>
          <w:color w:val="4472C4" w:themeColor="accent5"/>
          <w:sz w:val="24"/>
          <w:szCs w:val="24"/>
          <w:lang w:val="es-ES"/>
        </w:rPr>
        <w:t>el valor</w:t>
      </w:r>
      <w:r w:rsidRPr="000D6D3D">
        <w:rPr>
          <w:rFonts w:ascii="Times New Roman" w:hAnsi="Times New Roman" w:cs="Times New Roman"/>
          <w:color w:val="4472C4" w:themeColor="accent5"/>
          <w:sz w:val="24"/>
          <w:szCs w:val="24"/>
          <w:lang w:val="es-ES"/>
        </w:rPr>
        <w:t xml:space="preserve"> </w:t>
      </w:r>
      <w:r w:rsidR="001579B0" w:rsidRPr="000D6D3D">
        <w:rPr>
          <w:rFonts w:ascii="Times New Roman" w:hAnsi="Times New Roman" w:cs="Times New Roman"/>
          <w:color w:val="4472C4" w:themeColor="accent5"/>
          <w:sz w:val="24"/>
          <w:szCs w:val="24"/>
          <w:lang w:val="es-ES"/>
        </w:rPr>
        <w:t>calculad</w:t>
      </w:r>
      <w:r w:rsidR="005071F0" w:rsidRPr="000D6D3D">
        <w:rPr>
          <w:rFonts w:ascii="Times New Roman" w:hAnsi="Times New Roman" w:cs="Times New Roman"/>
          <w:color w:val="4472C4" w:themeColor="accent5"/>
          <w:sz w:val="24"/>
          <w:szCs w:val="24"/>
          <w:lang w:val="es-ES"/>
        </w:rPr>
        <w:t>o</w:t>
      </w:r>
      <w:r w:rsidRPr="000D6D3D">
        <w:rPr>
          <w:rFonts w:ascii="Times New Roman" w:hAnsi="Times New Roman" w:cs="Times New Roman"/>
          <w:color w:val="4472C4" w:themeColor="accent5"/>
          <w:sz w:val="24"/>
          <w:szCs w:val="24"/>
          <w:lang w:val="es-ES"/>
        </w:rPr>
        <w:t xml:space="preserve"> por el Score de probabilidad pre-test de HIT </w:t>
      </w:r>
      <w:r w:rsidR="008A34B9" w:rsidRPr="000D6D3D">
        <w:rPr>
          <w:rFonts w:ascii="Times New Roman" w:hAnsi="Times New Roman" w:cs="Times New Roman"/>
          <w:color w:val="4472C4" w:themeColor="accent5"/>
          <w:sz w:val="24"/>
          <w:szCs w:val="24"/>
          <w:lang w:val="es-ES"/>
        </w:rPr>
        <w:t>[</w:t>
      </w:r>
      <w:r w:rsidR="0080042E" w:rsidRPr="000D6D3D">
        <w:rPr>
          <w:rFonts w:ascii="Times New Roman" w:hAnsi="Times New Roman" w:cs="Times New Roman"/>
          <w:color w:val="4472C4" w:themeColor="accent5"/>
          <w:sz w:val="24"/>
          <w:szCs w:val="24"/>
          <w:lang w:val="es-ES"/>
        </w:rPr>
        <w:t>21</w:t>
      </w:r>
      <w:r w:rsidR="008A34B9" w:rsidRPr="000D6D3D">
        <w:rPr>
          <w:rFonts w:ascii="Times New Roman" w:hAnsi="Times New Roman" w:cs="Times New Roman"/>
          <w:color w:val="4472C4" w:themeColor="accent5"/>
          <w:sz w:val="24"/>
          <w:szCs w:val="24"/>
          <w:lang w:val="es-ES"/>
        </w:rPr>
        <w:t>]</w:t>
      </w:r>
      <w:r w:rsidRPr="000D6D3D">
        <w:rPr>
          <w:rFonts w:ascii="Times New Roman" w:hAnsi="Times New Roman" w:cs="Times New Roman"/>
          <w:color w:val="4472C4" w:themeColor="accent5"/>
          <w:spacing w:val="4"/>
          <w:sz w:val="24"/>
          <w:szCs w:val="24"/>
        </w:rPr>
        <w:t>.</w:t>
      </w:r>
      <w:r w:rsidRPr="000D6D3D">
        <w:rPr>
          <w:rFonts w:ascii="Times New Roman" w:hAnsi="Times New Roman" w:cs="Times New Roman"/>
          <w:spacing w:val="4"/>
          <w:sz w:val="24"/>
          <w:szCs w:val="24"/>
        </w:rPr>
        <w:t xml:space="preserve"> </w:t>
      </w:r>
      <w:r w:rsidR="00927D53" w:rsidRPr="000D6D3D">
        <w:rPr>
          <w:rFonts w:ascii="Times New Roman" w:hAnsi="Times New Roman" w:cs="Times New Roman"/>
          <w:spacing w:val="4"/>
          <w:sz w:val="24"/>
          <w:szCs w:val="24"/>
        </w:rPr>
        <w:t>Se propone que l</w:t>
      </w:r>
      <w:r w:rsidR="00927D53" w:rsidRPr="000D6D3D">
        <w:rPr>
          <w:rFonts w:ascii="Times New Roman" w:hAnsi="Times New Roman" w:cs="Times New Roman"/>
          <w:sz w:val="24"/>
          <w:szCs w:val="24"/>
          <w:lang w:val="es-ES"/>
        </w:rPr>
        <w:t>a inhibición de la IL-6, provocaría la disminución del recuento plaquetario por una alteración de la megacariopoyesis en la médula y de la síntesis hepática de trombopoyetina</w:t>
      </w:r>
      <w:r w:rsidR="00927D53" w:rsidRPr="000D6D3D">
        <w:rPr>
          <w:rFonts w:ascii="Times New Roman" w:hAnsi="Times New Roman" w:cs="Times New Roman"/>
          <w:color w:val="FF0000"/>
          <w:sz w:val="24"/>
          <w:szCs w:val="24"/>
        </w:rPr>
        <w:t xml:space="preserve"> </w:t>
      </w:r>
      <w:r w:rsidR="00927D53" w:rsidRPr="000D6D3D">
        <w:rPr>
          <w:rFonts w:ascii="Times New Roman" w:hAnsi="Times New Roman" w:cs="Times New Roman"/>
          <w:sz w:val="24"/>
          <w:szCs w:val="24"/>
        </w:rPr>
        <w:t xml:space="preserve">[22,23]. </w:t>
      </w:r>
      <w:r w:rsidRPr="000D6D3D">
        <w:rPr>
          <w:rFonts w:ascii="Times New Roman" w:hAnsi="Times New Roman" w:cs="Times New Roman"/>
          <w:sz w:val="24"/>
          <w:szCs w:val="24"/>
          <w:lang w:val="es-ES"/>
        </w:rPr>
        <w:t xml:space="preserve">Según la recomendación </w:t>
      </w:r>
      <w:r w:rsidR="001579B0" w:rsidRPr="000D6D3D">
        <w:rPr>
          <w:rFonts w:ascii="Times New Roman" w:hAnsi="Times New Roman" w:cs="Times New Roman"/>
          <w:sz w:val="24"/>
          <w:szCs w:val="24"/>
          <w:lang w:val="es-ES"/>
        </w:rPr>
        <w:t>del fabricante</w:t>
      </w:r>
      <w:r w:rsidRPr="000D6D3D">
        <w:rPr>
          <w:rFonts w:ascii="Times New Roman" w:hAnsi="Times New Roman" w:cs="Times New Roman"/>
          <w:sz w:val="24"/>
          <w:szCs w:val="24"/>
          <w:lang w:val="es-ES"/>
        </w:rPr>
        <w:t>, se debe ajustar dosis o no administrar TCZ en pacientes con r</w:t>
      </w:r>
      <w:r w:rsidR="001436D4" w:rsidRPr="000D6D3D">
        <w:rPr>
          <w:rFonts w:ascii="Times New Roman" w:hAnsi="Times New Roman" w:cs="Times New Roman"/>
          <w:sz w:val="24"/>
          <w:szCs w:val="24"/>
          <w:lang w:val="es-ES"/>
        </w:rPr>
        <w:t xml:space="preserve">ecuento </w:t>
      </w:r>
      <w:r w:rsidR="003808A2" w:rsidRPr="000D6D3D">
        <w:rPr>
          <w:rFonts w:ascii="Times New Roman" w:hAnsi="Times New Roman" w:cs="Times New Roman"/>
          <w:sz w:val="24"/>
          <w:szCs w:val="24"/>
          <w:lang w:val="es-ES"/>
        </w:rPr>
        <w:t>de plaquetas</w:t>
      </w:r>
      <w:r w:rsidR="001436D4" w:rsidRPr="000D6D3D">
        <w:rPr>
          <w:rFonts w:ascii="Times New Roman" w:hAnsi="Times New Roman" w:cs="Times New Roman"/>
          <w:sz w:val="24"/>
          <w:szCs w:val="24"/>
          <w:lang w:val="es-ES"/>
        </w:rPr>
        <w:t xml:space="preserve"> inferior a </w:t>
      </w:r>
      <w:r w:rsidR="005071F0" w:rsidRPr="000D6D3D">
        <w:rPr>
          <w:rFonts w:ascii="Times New Roman" w:hAnsi="Times New Roman" w:cs="Times New Roman"/>
          <w:sz w:val="24"/>
          <w:szCs w:val="24"/>
          <w:lang w:val="es-ES"/>
        </w:rPr>
        <w:t>100.000/mm</w:t>
      </w:r>
      <w:r w:rsidR="005071F0" w:rsidRPr="000D6D3D">
        <w:rPr>
          <w:rFonts w:ascii="Times New Roman" w:hAnsi="Times New Roman" w:cs="Times New Roman"/>
          <w:sz w:val="24"/>
          <w:szCs w:val="24"/>
          <w:vertAlign w:val="superscript"/>
          <w:lang w:val="es-ES"/>
        </w:rPr>
        <w:t>3</w:t>
      </w:r>
      <w:r w:rsidR="005071F0" w:rsidRPr="000D6D3D">
        <w:rPr>
          <w:rFonts w:ascii="Times New Roman" w:hAnsi="Times New Roman" w:cs="Times New Roman"/>
          <w:color w:val="4472C4" w:themeColor="accent5"/>
          <w:sz w:val="24"/>
          <w:szCs w:val="24"/>
          <w:lang w:val="es-ES"/>
        </w:rPr>
        <w:t xml:space="preserve"> </w:t>
      </w:r>
      <w:r w:rsidR="00057CC0" w:rsidRPr="000D6D3D">
        <w:rPr>
          <w:rFonts w:ascii="Times New Roman" w:hAnsi="Times New Roman" w:cs="Times New Roman"/>
          <w:color w:val="4472C4" w:themeColor="accent5"/>
          <w:sz w:val="24"/>
          <w:szCs w:val="24"/>
          <w:lang w:val="es-ES"/>
        </w:rPr>
        <w:t>[</w:t>
      </w:r>
      <w:r w:rsidR="00A73A70" w:rsidRPr="000D6D3D">
        <w:rPr>
          <w:rFonts w:ascii="Times New Roman" w:hAnsi="Times New Roman" w:cs="Times New Roman"/>
          <w:color w:val="4472C4" w:themeColor="accent5"/>
          <w:sz w:val="24"/>
          <w:szCs w:val="24"/>
          <w:lang w:val="es-ES"/>
        </w:rPr>
        <w:t>14</w:t>
      </w:r>
      <w:r w:rsidR="00057CC0" w:rsidRPr="000D6D3D">
        <w:rPr>
          <w:rFonts w:ascii="Times New Roman" w:hAnsi="Times New Roman" w:cs="Times New Roman"/>
          <w:color w:val="4472C4" w:themeColor="accent5"/>
          <w:sz w:val="24"/>
          <w:szCs w:val="24"/>
          <w:lang w:val="es-ES"/>
        </w:rPr>
        <w:t>]</w:t>
      </w:r>
      <w:r w:rsidR="006065E6" w:rsidRPr="000D6D3D">
        <w:rPr>
          <w:rFonts w:ascii="Times New Roman" w:hAnsi="Times New Roman" w:cs="Times New Roman"/>
          <w:sz w:val="24"/>
          <w:szCs w:val="24"/>
          <w:lang w:val="es-ES"/>
        </w:rPr>
        <w:t xml:space="preserve">. </w:t>
      </w:r>
    </w:p>
    <w:p w:rsidR="00572586" w:rsidRPr="000D6D3D" w:rsidRDefault="00572586" w:rsidP="00CF0B2C">
      <w:pPr>
        <w:spacing w:after="0" w:line="360" w:lineRule="auto"/>
        <w:jc w:val="both"/>
        <w:rPr>
          <w:rFonts w:ascii="Times New Roman" w:hAnsi="Times New Roman" w:cs="Times New Roman"/>
          <w:sz w:val="24"/>
          <w:szCs w:val="24"/>
        </w:rPr>
      </w:pPr>
    </w:p>
    <w:p w:rsidR="00BD3504" w:rsidRPr="000D6D3D" w:rsidRDefault="008B580F" w:rsidP="00CF0B2C">
      <w:pPr>
        <w:spacing w:after="0" w:line="360" w:lineRule="auto"/>
        <w:jc w:val="both"/>
        <w:rPr>
          <w:rFonts w:ascii="Times New Roman" w:hAnsi="Times New Roman" w:cs="Times New Roman"/>
          <w:color w:val="000000"/>
          <w:sz w:val="24"/>
          <w:szCs w:val="24"/>
          <w:shd w:val="clear" w:color="auto" w:fill="FFFFFF"/>
        </w:rPr>
      </w:pPr>
      <w:r w:rsidRPr="000D6D3D">
        <w:rPr>
          <w:rFonts w:ascii="Times New Roman" w:hAnsi="Times New Roman" w:cs="Times New Roman"/>
          <w:sz w:val="24"/>
          <w:szCs w:val="24"/>
          <w:lang w:val="es-ES"/>
        </w:rPr>
        <w:t xml:space="preserve">La IA de neutropenia en nuestro estudio fue </w:t>
      </w:r>
      <w:r w:rsidR="00C06794" w:rsidRPr="000D6D3D">
        <w:rPr>
          <w:rFonts w:ascii="Times New Roman" w:hAnsi="Times New Roman" w:cs="Times New Roman"/>
          <w:sz w:val="24"/>
          <w:szCs w:val="24"/>
          <w:lang w:val="es-ES"/>
        </w:rPr>
        <w:t xml:space="preserve">de </w:t>
      </w:r>
      <w:r w:rsidRPr="000D6D3D">
        <w:rPr>
          <w:rFonts w:ascii="Times New Roman" w:eastAsia="Times New Roman" w:hAnsi="Times New Roman" w:cs="Times New Roman"/>
          <w:color w:val="000000"/>
          <w:sz w:val="24"/>
          <w:szCs w:val="24"/>
          <w:lang w:eastAsia="es-CL"/>
        </w:rPr>
        <w:t xml:space="preserve">7,1%. La frecuencia de esta RAM es variable entre los principales ECA de TCZ en COVID-19 (3,0-13,7%) </w:t>
      </w:r>
      <w:r w:rsidR="00F820C3" w:rsidRPr="000D6D3D">
        <w:rPr>
          <w:rFonts w:ascii="Times New Roman" w:eastAsia="Times New Roman" w:hAnsi="Times New Roman" w:cs="Times New Roman"/>
          <w:color w:val="000000"/>
          <w:sz w:val="24"/>
          <w:szCs w:val="24"/>
          <w:lang w:eastAsia="es-CL"/>
        </w:rPr>
        <w:t>[8-10]</w:t>
      </w:r>
      <w:r w:rsidRPr="000D6D3D">
        <w:rPr>
          <w:rFonts w:ascii="Times New Roman" w:eastAsia="Times New Roman" w:hAnsi="Times New Roman" w:cs="Times New Roman"/>
          <w:color w:val="000000"/>
          <w:sz w:val="24"/>
          <w:szCs w:val="24"/>
          <w:lang w:eastAsia="es-CL"/>
        </w:rPr>
        <w:t xml:space="preserve">. </w:t>
      </w:r>
      <w:r w:rsidRPr="000D6D3D">
        <w:rPr>
          <w:rFonts w:ascii="Times New Roman" w:hAnsi="Times New Roman" w:cs="Times New Roman"/>
          <w:color w:val="000000"/>
          <w:sz w:val="24"/>
          <w:szCs w:val="24"/>
          <w:shd w:val="clear" w:color="auto" w:fill="FFFFFF"/>
        </w:rPr>
        <w:t xml:space="preserve">En nuestra investigación, las cuatro neutropenias identificadas fueron clasificadas como eventos </w:t>
      </w:r>
      <w:r w:rsidRPr="000D6D3D">
        <w:rPr>
          <w:rFonts w:ascii="Times New Roman" w:hAnsi="Times New Roman" w:cs="Times New Roman"/>
          <w:i/>
          <w:color w:val="000000"/>
          <w:sz w:val="24"/>
          <w:szCs w:val="24"/>
          <w:shd w:val="clear" w:color="auto" w:fill="FFFFFF"/>
        </w:rPr>
        <w:t xml:space="preserve">Probables </w:t>
      </w:r>
      <w:r w:rsidRPr="000D6D3D">
        <w:rPr>
          <w:rFonts w:ascii="Times New Roman" w:hAnsi="Times New Roman" w:cs="Times New Roman"/>
          <w:color w:val="000000"/>
          <w:sz w:val="24"/>
          <w:szCs w:val="24"/>
          <w:shd w:val="clear" w:color="auto" w:fill="FFFFFF"/>
        </w:rPr>
        <w:t>y</w:t>
      </w:r>
      <w:r w:rsidRPr="000D6D3D">
        <w:rPr>
          <w:rFonts w:ascii="Times New Roman" w:hAnsi="Times New Roman" w:cs="Times New Roman"/>
          <w:i/>
          <w:color w:val="000000"/>
          <w:sz w:val="24"/>
          <w:szCs w:val="24"/>
          <w:shd w:val="clear" w:color="auto" w:fill="FFFFFF"/>
        </w:rPr>
        <w:t xml:space="preserve"> No prevenibles, </w:t>
      </w:r>
      <w:r w:rsidRPr="000D6D3D">
        <w:rPr>
          <w:rFonts w:ascii="Times New Roman" w:hAnsi="Times New Roman" w:cs="Times New Roman"/>
          <w:sz w:val="24"/>
          <w:szCs w:val="24"/>
          <w:lang w:val="es-ES"/>
        </w:rPr>
        <w:t xml:space="preserve">ya que los pacientes tenían un recuento absoluto de neutrófilos (RAN) normales previo a la administración de TCZ, no estaban recibiendo otros fármacos asociados al desarrollo de neutropenia y tampoco tenían antecedentes de enfermedades </w:t>
      </w:r>
      <w:proofErr w:type="spellStart"/>
      <w:r w:rsidRPr="000D6D3D">
        <w:rPr>
          <w:rFonts w:ascii="Times New Roman" w:hAnsi="Times New Roman" w:cs="Times New Roman"/>
          <w:sz w:val="24"/>
          <w:szCs w:val="24"/>
          <w:lang w:val="es-ES"/>
        </w:rPr>
        <w:t>hemato</w:t>
      </w:r>
      <w:proofErr w:type="spellEnd"/>
      <w:r w:rsidRPr="000D6D3D">
        <w:rPr>
          <w:rFonts w:ascii="Times New Roman" w:hAnsi="Times New Roman" w:cs="Times New Roman"/>
          <w:sz w:val="24"/>
          <w:szCs w:val="24"/>
          <w:lang w:val="es-ES"/>
        </w:rPr>
        <w:t xml:space="preserve">-oncológicas o reumatológicas. En los 2 pacientes que presentaron neutropenia grado 3, no fue necesaria la administración de factores estimulantes de colonias y no se observó el desarrollo de infecciones. </w:t>
      </w:r>
      <w:r w:rsidR="00E16434" w:rsidRPr="000D6D3D">
        <w:rPr>
          <w:rFonts w:ascii="Times New Roman" w:hAnsi="Times New Roman" w:cs="Times New Roman"/>
          <w:sz w:val="24"/>
          <w:szCs w:val="24"/>
          <w:lang w:val="es-ES"/>
        </w:rPr>
        <w:t>Uno de los mecanismos propuestos en la</w:t>
      </w:r>
      <w:r w:rsidR="00A409E6" w:rsidRPr="000D6D3D">
        <w:rPr>
          <w:rFonts w:ascii="Times New Roman" w:hAnsi="Times New Roman" w:cs="Times New Roman"/>
          <w:sz w:val="24"/>
          <w:szCs w:val="24"/>
          <w:lang w:val="es-ES"/>
        </w:rPr>
        <w:t xml:space="preserve"> </w:t>
      </w:r>
      <w:r w:rsidR="00E16434" w:rsidRPr="000D6D3D">
        <w:rPr>
          <w:rFonts w:ascii="Times New Roman" w:hAnsi="Times New Roman" w:cs="Times New Roman"/>
          <w:sz w:val="24"/>
          <w:szCs w:val="24"/>
          <w:lang w:val="es-ES"/>
        </w:rPr>
        <w:t xml:space="preserve">ocurrencia de </w:t>
      </w:r>
      <w:r w:rsidRPr="000D6D3D">
        <w:rPr>
          <w:rFonts w:ascii="Times New Roman" w:eastAsia="Times New Roman" w:hAnsi="Times New Roman" w:cs="Times New Roman"/>
          <w:color w:val="000000"/>
          <w:sz w:val="24"/>
          <w:szCs w:val="24"/>
          <w:lang w:eastAsia="es-CL"/>
        </w:rPr>
        <w:t>neutropenia por TCZ</w:t>
      </w:r>
      <w:r w:rsidR="00E16434" w:rsidRPr="000D6D3D">
        <w:rPr>
          <w:rFonts w:ascii="Times New Roman" w:hAnsi="Times New Roman" w:cs="Times New Roman"/>
          <w:sz w:val="24"/>
          <w:szCs w:val="24"/>
          <w:lang w:val="es-ES"/>
        </w:rPr>
        <w:t xml:space="preserve"> es la reducción del recuento circulante por mayor adhesión al endotelio vascular. </w:t>
      </w:r>
      <w:r w:rsidR="00284525" w:rsidRPr="000D6D3D">
        <w:rPr>
          <w:rFonts w:ascii="Times New Roman" w:hAnsi="Times New Roman" w:cs="Times New Roman"/>
          <w:sz w:val="24"/>
          <w:szCs w:val="24"/>
          <w:lang w:val="es-ES"/>
        </w:rPr>
        <w:t xml:space="preserve">Se considera </w:t>
      </w:r>
      <w:r w:rsidR="00E16434" w:rsidRPr="000D6D3D">
        <w:rPr>
          <w:rFonts w:ascii="Times New Roman" w:eastAsia="Times New Roman" w:hAnsi="Times New Roman" w:cs="Times New Roman"/>
          <w:color w:val="000000"/>
          <w:sz w:val="24"/>
          <w:szCs w:val="24"/>
          <w:lang w:eastAsia="es-CL"/>
        </w:rPr>
        <w:t xml:space="preserve">una reacción </w:t>
      </w:r>
      <w:r w:rsidRPr="000D6D3D">
        <w:rPr>
          <w:rFonts w:ascii="Times New Roman" w:eastAsia="Times New Roman" w:hAnsi="Times New Roman" w:cs="Times New Roman"/>
          <w:color w:val="000000"/>
          <w:sz w:val="24"/>
          <w:szCs w:val="24"/>
          <w:lang w:eastAsia="es-CL"/>
        </w:rPr>
        <w:t>dosis dependiente</w:t>
      </w:r>
      <w:r w:rsidR="00A409E6" w:rsidRPr="000D6D3D">
        <w:rPr>
          <w:rFonts w:ascii="Times New Roman" w:eastAsia="Times New Roman" w:hAnsi="Times New Roman" w:cs="Times New Roman"/>
          <w:color w:val="000000"/>
          <w:sz w:val="24"/>
          <w:szCs w:val="24"/>
          <w:lang w:eastAsia="es-CL"/>
        </w:rPr>
        <w:t>,</w:t>
      </w:r>
      <w:r w:rsidRPr="000D6D3D">
        <w:rPr>
          <w:rFonts w:ascii="Times New Roman" w:eastAsia="Times New Roman" w:hAnsi="Times New Roman" w:cs="Times New Roman"/>
          <w:color w:val="000000"/>
          <w:sz w:val="24"/>
          <w:szCs w:val="24"/>
          <w:lang w:eastAsia="es-CL"/>
        </w:rPr>
        <w:t xml:space="preserve"> </w:t>
      </w:r>
      <w:r w:rsidRPr="000D6D3D">
        <w:rPr>
          <w:rFonts w:ascii="Times New Roman" w:hAnsi="Times New Roman" w:cs="Times New Roman"/>
          <w:sz w:val="24"/>
          <w:szCs w:val="24"/>
          <w:lang w:val="es-ES"/>
        </w:rPr>
        <w:t xml:space="preserve">transitoria y </w:t>
      </w:r>
      <w:r w:rsidR="00284525" w:rsidRPr="000D6D3D">
        <w:rPr>
          <w:rFonts w:ascii="Times New Roman" w:hAnsi="Times New Roman" w:cs="Times New Roman"/>
          <w:sz w:val="24"/>
          <w:szCs w:val="24"/>
          <w:lang w:val="es-ES"/>
        </w:rPr>
        <w:t xml:space="preserve">que </w:t>
      </w:r>
      <w:r w:rsidRPr="000D6D3D">
        <w:rPr>
          <w:rFonts w:ascii="Times New Roman" w:hAnsi="Times New Roman" w:cs="Times New Roman"/>
          <w:sz w:val="24"/>
          <w:szCs w:val="24"/>
          <w:lang w:val="es-ES"/>
        </w:rPr>
        <w:t xml:space="preserve">no </w:t>
      </w:r>
      <w:r w:rsidR="00F70924" w:rsidRPr="000D6D3D">
        <w:rPr>
          <w:rFonts w:ascii="Times New Roman" w:hAnsi="Times New Roman" w:cs="Times New Roman"/>
          <w:sz w:val="24"/>
          <w:szCs w:val="24"/>
          <w:lang w:val="es-ES"/>
        </w:rPr>
        <w:t>afecta</w:t>
      </w:r>
      <w:r w:rsidRPr="000D6D3D">
        <w:rPr>
          <w:rFonts w:ascii="Times New Roman" w:hAnsi="Times New Roman" w:cs="Times New Roman"/>
          <w:sz w:val="24"/>
          <w:szCs w:val="24"/>
          <w:lang w:val="es-ES"/>
        </w:rPr>
        <w:t xml:space="preserve"> directamente las funciones de los neutrófilos asociadas con la defensa del huésped</w:t>
      </w:r>
      <w:r w:rsidR="00F820C3" w:rsidRPr="000D6D3D">
        <w:rPr>
          <w:rFonts w:ascii="Times New Roman" w:hAnsi="Times New Roman" w:cs="Times New Roman"/>
          <w:sz w:val="24"/>
          <w:szCs w:val="24"/>
          <w:lang w:val="es-ES"/>
        </w:rPr>
        <w:t>.</w:t>
      </w:r>
      <w:r w:rsidR="00284525" w:rsidRPr="000D6D3D">
        <w:rPr>
          <w:rFonts w:ascii="Times New Roman" w:hAnsi="Times New Roman" w:cs="Times New Roman"/>
          <w:sz w:val="24"/>
          <w:szCs w:val="24"/>
          <w:lang w:val="es-ES"/>
        </w:rPr>
        <w:t xml:space="preserve"> </w:t>
      </w:r>
      <w:r w:rsidRPr="000D6D3D">
        <w:rPr>
          <w:rFonts w:ascii="Times New Roman" w:hAnsi="Times New Roman" w:cs="Times New Roman"/>
          <w:sz w:val="24"/>
          <w:szCs w:val="24"/>
          <w:lang w:val="es-ES"/>
        </w:rPr>
        <w:t>[</w:t>
      </w:r>
      <w:r w:rsidR="00331D7E" w:rsidRPr="000D6D3D">
        <w:rPr>
          <w:rFonts w:ascii="Times New Roman" w:hAnsi="Times New Roman" w:cs="Times New Roman"/>
          <w:sz w:val="24"/>
          <w:szCs w:val="24"/>
          <w:lang w:val="es-ES"/>
        </w:rPr>
        <w:t>24,</w:t>
      </w:r>
      <w:r w:rsidR="003454D5" w:rsidRPr="000D6D3D">
        <w:rPr>
          <w:rFonts w:ascii="Times New Roman" w:hAnsi="Times New Roman" w:cs="Times New Roman"/>
          <w:sz w:val="24"/>
          <w:szCs w:val="24"/>
          <w:lang w:val="es-ES"/>
        </w:rPr>
        <w:t>25</w:t>
      </w:r>
      <w:r w:rsidRPr="000D6D3D">
        <w:rPr>
          <w:rFonts w:ascii="Times New Roman" w:hAnsi="Times New Roman" w:cs="Times New Roman"/>
          <w:color w:val="000000"/>
          <w:sz w:val="24"/>
          <w:szCs w:val="24"/>
          <w:shd w:val="clear" w:color="auto" w:fill="FFFFFF"/>
        </w:rPr>
        <w:t>]</w:t>
      </w:r>
      <w:r w:rsidR="00E268DF" w:rsidRPr="000D6D3D">
        <w:rPr>
          <w:rFonts w:ascii="Times New Roman" w:hAnsi="Times New Roman" w:cs="Times New Roman"/>
          <w:color w:val="000000"/>
          <w:sz w:val="24"/>
          <w:szCs w:val="24"/>
          <w:shd w:val="clear" w:color="auto" w:fill="FFFFFF"/>
        </w:rPr>
        <w:t xml:space="preserve">. </w:t>
      </w:r>
      <w:r w:rsidR="00E268DF" w:rsidRPr="000D6D3D">
        <w:rPr>
          <w:rFonts w:ascii="Times New Roman" w:hAnsi="Times New Roman" w:cs="Times New Roman"/>
          <w:sz w:val="24"/>
          <w:szCs w:val="24"/>
          <w:lang w:val="es-ES"/>
        </w:rPr>
        <w:t>Según la recomendación del fabricante, no se debe administrar TCZ en pacientes con RAN menor a 2</w:t>
      </w:r>
      <w:r w:rsidR="00EE0A3B" w:rsidRPr="000D6D3D">
        <w:rPr>
          <w:rFonts w:ascii="Times New Roman" w:hAnsi="Times New Roman" w:cs="Times New Roman"/>
          <w:sz w:val="24"/>
          <w:szCs w:val="24"/>
          <w:lang w:val="es-ES"/>
        </w:rPr>
        <w:t>.</w:t>
      </w:r>
      <w:r w:rsidR="00E268DF" w:rsidRPr="000D6D3D">
        <w:rPr>
          <w:rFonts w:ascii="Times New Roman" w:hAnsi="Times New Roman" w:cs="Times New Roman"/>
          <w:sz w:val="24"/>
          <w:szCs w:val="24"/>
          <w:lang w:val="es-ES"/>
        </w:rPr>
        <w:t xml:space="preserve">000 </w:t>
      </w:r>
      <w:proofErr w:type="spellStart"/>
      <w:r w:rsidR="00E268DF" w:rsidRPr="000D6D3D">
        <w:rPr>
          <w:rFonts w:ascii="Times New Roman" w:hAnsi="Times New Roman" w:cs="Times New Roman"/>
          <w:sz w:val="24"/>
          <w:szCs w:val="24"/>
          <w:lang w:val="es-ES"/>
        </w:rPr>
        <w:t>cel</w:t>
      </w:r>
      <w:proofErr w:type="spellEnd"/>
      <w:r w:rsidR="00E268DF" w:rsidRPr="000D6D3D">
        <w:rPr>
          <w:rFonts w:ascii="Times New Roman" w:hAnsi="Times New Roman" w:cs="Times New Roman"/>
          <w:sz w:val="24"/>
          <w:szCs w:val="24"/>
          <w:lang w:val="es-ES"/>
        </w:rPr>
        <w:t>/mm</w:t>
      </w:r>
      <w:r w:rsidR="00E268DF" w:rsidRPr="000D6D3D">
        <w:rPr>
          <w:rFonts w:ascii="Times New Roman" w:hAnsi="Times New Roman" w:cs="Times New Roman"/>
          <w:sz w:val="24"/>
          <w:szCs w:val="24"/>
          <w:vertAlign w:val="superscript"/>
          <w:lang w:val="es-ES"/>
        </w:rPr>
        <w:t>3</w:t>
      </w:r>
      <w:r w:rsidR="00E268DF" w:rsidRPr="000D6D3D">
        <w:rPr>
          <w:rFonts w:ascii="Times New Roman" w:hAnsi="Times New Roman" w:cs="Times New Roman"/>
          <w:sz w:val="24"/>
          <w:szCs w:val="24"/>
          <w:lang w:val="es-ES"/>
        </w:rPr>
        <w:t xml:space="preserve"> </w:t>
      </w:r>
      <w:r w:rsidR="00E268DF" w:rsidRPr="000D6D3D">
        <w:rPr>
          <w:rFonts w:ascii="Times New Roman" w:hAnsi="Times New Roman" w:cs="Times New Roman"/>
          <w:color w:val="4472C4" w:themeColor="accent5"/>
          <w:sz w:val="24"/>
          <w:szCs w:val="24"/>
          <w:lang w:val="es-ES"/>
        </w:rPr>
        <w:t>[14]</w:t>
      </w:r>
    </w:p>
    <w:p w:rsidR="00EB2FBA" w:rsidRPr="000D6D3D" w:rsidRDefault="00EB2FBA" w:rsidP="00CF0B2C">
      <w:pPr>
        <w:spacing w:after="0" w:line="360" w:lineRule="auto"/>
        <w:jc w:val="both"/>
        <w:rPr>
          <w:rFonts w:ascii="Times New Roman" w:hAnsi="Times New Roman" w:cs="Times New Roman"/>
          <w:sz w:val="24"/>
          <w:szCs w:val="24"/>
          <w:lang w:val="es-ES"/>
        </w:rPr>
      </w:pPr>
    </w:p>
    <w:p w:rsidR="00374146" w:rsidRPr="000D6D3D" w:rsidRDefault="008B580F" w:rsidP="0064099D">
      <w:pPr>
        <w:pStyle w:val="Sinespaciado"/>
        <w:spacing w:line="360" w:lineRule="auto"/>
        <w:jc w:val="both"/>
        <w:rPr>
          <w:rFonts w:ascii="Times New Roman" w:hAnsi="Times New Roman" w:cs="Times New Roman"/>
          <w:sz w:val="24"/>
          <w:szCs w:val="24"/>
        </w:rPr>
      </w:pPr>
      <w:r w:rsidRPr="000D6D3D">
        <w:rPr>
          <w:rFonts w:ascii="Times New Roman" w:hAnsi="Times New Roman" w:cs="Times New Roman"/>
          <w:sz w:val="24"/>
          <w:szCs w:val="24"/>
        </w:rPr>
        <w:t xml:space="preserve">La </w:t>
      </w:r>
      <w:r w:rsidRPr="000D6D3D">
        <w:rPr>
          <w:rFonts w:ascii="Times New Roman" w:eastAsia="Times New Roman" w:hAnsi="Times New Roman" w:cs="Times New Roman"/>
          <w:sz w:val="24"/>
          <w:szCs w:val="24"/>
          <w:lang w:val="es-ES"/>
        </w:rPr>
        <w:t>IA de desarrollo de infección en nues</w:t>
      </w:r>
      <w:r w:rsidR="000A7040" w:rsidRPr="000D6D3D">
        <w:rPr>
          <w:rFonts w:ascii="Times New Roman" w:eastAsia="Times New Roman" w:hAnsi="Times New Roman" w:cs="Times New Roman"/>
          <w:sz w:val="24"/>
          <w:szCs w:val="24"/>
          <w:lang w:val="es-ES"/>
        </w:rPr>
        <w:t>tra investigación fue de 30,4</w:t>
      </w:r>
      <w:r w:rsidR="0064099D" w:rsidRPr="000D6D3D">
        <w:rPr>
          <w:rFonts w:ascii="Times New Roman" w:eastAsia="Times New Roman" w:hAnsi="Times New Roman" w:cs="Times New Roman"/>
          <w:sz w:val="24"/>
          <w:szCs w:val="24"/>
          <w:lang w:val="es-ES"/>
        </w:rPr>
        <w:t>%. L</w:t>
      </w:r>
      <w:r w:rsidRPr="000D6D3D">
        <w:rPr>
          <w:rFonts w:ascii="Times New Roman" w:eastAsia="Times New Roman" w:hAnsi="Times New Roman" w:cs="Times New Roman"/>
          <w:sz w:val="24"/>
          <w:szCs w:val="24"/>
          <w:lang w:val="es-ES"/>
        </w:rPr>
        <w:t xml:space="preserve">os resultados reportados por </w:t>
      </w:r>
      <w:r w:rsidR="002A0BEB" w:rsidRPr="000D6D3D">
        <w:rPr>
          <w:rFonts w:ascii="Times New Roman" w:eastAsia="Times New Roman" w:hAnsi="Times New Roman" w:cs="Times New Roman"/>
          <w:sz w:val="24"/>
          <w:szCs w:val="24"/>
          <w:lang w:val="es-ES"/>
        </w:rPr>
        <w:t xml:space="preserve">otros estudios en COVID-19 varían significativamente, desde la ausencia de </w:t>
      </w:r>
      <w:r w:rsidR="002A0BEB" w:rsidRPr="000D6D3D">
        <w:rPr>
          <w:rFonts w:ascii="Times New Roman" w:eastAsia="Times New Roman" w:hAnsi="Times New Roman" w:cs="Times New Roman"/>
          <w:sz w:val="24"/>
          <w:szCs w:val="24"/>
          <w:lang w:val="es-ES"/>
        </w:rPr>
        <w:lastRenderedPageBreak/>
        <w:t>infección hasta una IA de</w:t>
      </w:r>
      <w:r w:rsidR="007F0C50" w:rsidRPr="000D6D3D">
        <w:rPr>
          <w:rFonts w:ascii="Times New Roman" w:eastAsia="Times New Roman" w:hAnsi="Times New Roman" w:cs="Times New Roman"/>
          <w:sz w:val="24"/>
          <w:szCs w:val="24"/>
          <w:lang w:val="es-ES"/>
        </w:rPr>
        <w:t>l</w:t>
      </w:r>
      <w:r w:rsidR="002A0BEB" w:rsidRPr="000D6D3D">
        <w:rPr>
          <w:rFonts w:ascii="Times New Roman" w:eastAsia="Times New Roman" w:hAnsi="Times New Roman" w:cs="Times New Roman"/>
          <w:sz w:val="24"/>
          <w:szCs w:val="24"/>
          <w:lang w:val="es-ES"/>
        </w:rPr>
        <w:t xml:space="preserve"> 56% [4</w:t>
      </w:r>
      <w:proofErr w:type="gramStart"/>
      <w:r w:rsidR="002A0BEB" w:rsidRPr="000D6D3D">
        <w:rPr>
          <w:rFonts w:ascii="Times New Roman" w:eastAsia="Times New Roman" w:hAnsi="Times New Roman" w:cs="Times New Roman"/>
          <w:sz w:val="24"/>
          <w:szCs w:val="24"/>
          <w:lang w:val="es-ES"/>
        </w:rPr>
        <w:t>,5,9,10,11,26,27</w:t>
      </w:r>
      <w:proofErr w:type="gramEnd"/>
      <w:r w:rsidR="002A0BEB" w:rsidRPr="000D6D3D">
        <w:rPr>
          <w:rFonts w:ascii="Times New Roman" w:eastAsia="Times New Roman" w:hAnsi="Times New Roman" w:cs="Times New Roman"/>
          <w:sz w:val="24"/>
          <w:szCs w:val="24"/>
          <w:lang w:val="es-ES"/>
        </w:rPr>
        <w:t xml:space="preserve">]. Estas diferencias se deben principalmente a </w:t>
      </w:r>
      <w:r w:rsidR="000E20CE" w:rsidRPr="000D6D3D">
        <w:rPr>
          <w:rFonts w:ascii="Times New Roman" w:eastAsia="Times New Roman" w:hAnsi="Times New Roman" w:cs="Times New Roman"/>
          <w:sz w:val="24"/>
          <w:szCs w:val="24"/>
          <w:lang w:val="es-ES"/>
        </w:rPr>
        <w:t>los diseños de estudio</w:t>
      </w:r>
      <w:r w:rsidR="006B0DD9" w:rsidRPr="000D6D3D">
        <w:rPr>
          <w:rFonts w:ascii="Times New Roman" w:eastAsia="Times New Roman" w:hAnsi="Times New Roman" w:cs="Times New Roman"/>
          <w:sz w:val="24"/>
          <w:szCs w:val="24"/>
          <w:lang w:val="es-ES"/>
        </w:rPr>
        <w:t>, a la</w:t>
      </w:r>
      <w:r w:rsidR="002A0BEB" w:rsidRPr="000D6D3D">
        <w:rPr>
          <w:rFonts w:ascii="Times New Roman" w:eastAsia="Times New Roman" w:hAnsi="Times New Roman" w:cs="Times New Roman"/>
          <w:sz w:val="24"/>
          <w:szCs w:val="24"/>
          <w:lang w:val="es-ES"/>
        </w:rPr>
        <w:t xml:space="preserve"> heterogeneidad en los periodos de seguimiento y al uso concomitante de otros fármacos inmunomoduladores.</w:t>
      </w:r>
      <w:r w:rsidR="00154467" w:rsidRPr="000D6D3D">
        <w:rPr>
          <w:rFonts w:ascii="Times New Roman" w:eastAsia="Times New Roman" w:hAnsi="Times New Roman" w:cs="Times New Roman"/>
          <w:sz w:val="24"/>
          <w:szCs w:val="24"/>
          <w:lang w:val="es-ES"/>
        </w:rPr>
        <w:t xml:space="preserve"> </w:t>
      </w:r>
      <w:r w:rsidR="00EE0A3B" w:rsidRPr="000D6D3D">
        <w:rPr>
          <w:rFonts w:ascii="Times New Roman" w:eastAsia="Times New Roman" w:hAnsi="Times New Roman" w:cs="Times New Roman"/>
          <w:sz w:val="24"/>
          <w:szCs w:val="24"/>
          <w:lang w:val="es-ES"/>
        </w:rPr>
        <w:t>E</w:t>
      </w:r>
      <w:r w:rsidR="00001873" w:rsidRPr="000D6D3D">
        <w:rPr>
          <w:rFonts w:ascii="Times New Roman" w:hAnsi="Times New Roman" w:cs="Times New Roman"/>
          <w:sz w:val="24"/>
          <w:szCs w:val="24"/>
        </w:rPr>
        <w:t>l estudio RECOVERY TCZ no realizó descripción del desarrollo de infección asociados al uso de TCZ y solo reportó que 3 pacientes tuvieron infecciones severas que resolvieron con tratamiento antibiótico [7].</w:t>
      </w:r>
      <w:r w:rsidR="00372542" w:rsidRPr="000D6D3D">
        <w:rPr>
          <w:rFonts w:ascii="Times New Roman" w:hAnsi="Times New Roman" w:cs="Times New Roman"/>
          <w:sz w:val="24"/>
          <w:szCs w:val="24"/>
        </w:rPr>
        <w:t xml:space="preserve"> </w:t>
      </w:r>
      <w:r w:rsidR="00EE66E2" w:rsidRPr="000D6D3D">
        <w:rPr>
          <w:rFonts w:ascii="Times New Roman" w:hAnsi="Times New Roman" w:cs="Times New Roman"/>
          <w:color w:val="4472C4" w:themeColor="accent5"/>
          <w:sz w:val="24"/>
          <w:szCs w:val="24"/>
        </w:rPr>
        <w:t>El mecanismo por el cual TCZ aumenta</w:t>
      </w:r>
      <w:r w:rsidR="00767F59" w:rsidRPr="000D6D3D">
        <w:rPr>
          <w:rFonts w:ascii="Times New Roman" w:hAnsi="Times New Roman" w:cs="Times New Roman"/>
          <w:color w:val="4472C4" w:themeColor="accent5"/>
          <w:sz w:val="24"/>
          <w:szCs w:val="24"/>
        </w:rPr>
        <w:t>ría</w:t>
      </w:r>
      <w:r w:rsidR="00EE66E2" w:rsidRPr="000D6D3D">
        <w:rPr>
          <w:rFonts w:ascii="Times New Roman" w:hAnsi="Times New Roman" w:cs="Times New Roman"/>
          <w:color w:val="4472C4" w:themeColor="accent5"/>
          <w:sz w:val="24"/>
          <w:szCs w:val="24"/>
        </w:rPr>
        <w:t xml:space="preserve"> el riesgo de </w:t>
      </w:r>
      <w:r w:rsidR="00767F59" w:rsidRPr="000D6D3D">
        <w:rPr>
          <w:rFonts w:ascii="Times New Roman" w:hAnsi="Times New Roman" w:cs="Times New Roman"/>
          <w:color w:val="4472C4" w:themeColor="accent5"/>
          <w:sz w:val="24"/>
          <w:szCs w:val="24"/>
        </w:rPr>
        <w:t>infección</w:t>
      </w:r>
      <w:r w:rsidR="00EE66E2" w:rsidRPr="000D6D3D">
        <w:rPr>
          <w:rFonts w:ascii="Times New Roman" w:hAnsi="Times New Roman" w:cs="Times New Roman"/>
          <w:color w:val="4472C4" w:themeColor="accent5"/>
          <w:sz w:val="24"/>
          <w:szCs w:val="24"/>
        </w:rPr>
        <w:t xml:space="preserve"> no</w:t>
      </w:r>
      <w:r w:rsidR="00767F59" w:rsidRPr="000D6D3D">
        <w:rPr>
          <w:rFonts w:ascii="Times New Roman" w:hAnsi="Times New Roman" w:cs="Times New Roman"/>
          <w:color w:val="4472C4" w:themeColor="accent5"/>
          <w:sz w:val="24"/>
          <w:szCs w:val="24"/>
        </w:rPr>
        <w:t xml:space="preserve"> está claro y</w:t>
      </w:r>
      <w:r w:rsidR="00EE66E2" w:rsidRPr="000D6D3D">
        <w:rPr>
          <w:rFonts w:ascii="Times New Roman" w:hAnsi="Times New Roman" w:cs="Times New Roman"/>
          <w:color w:val="4472C4" w:themeColor="accent5"/>
          <w:sz w:val="24"/>
          <w:szCs w:val="24"/>
        </w:rPr>
        <w:t xml:space="preserve"> tampoco se ha establecido </w:t>
      </w:r>
      <w:r w:rsidR="00767F59" w:rsidRPr="000D6D3D">
        <w:rPr>
          <w:rFonts w:ascii="Times New Roman" w:hAnsi="Times New Roman" w:cs="Times New Roman"/>
          <w:color w:val="4472C4" w:themeColor="accent5"/>
          <w:sz w:val="24"/>
          <w:szCs w:val="24"/>
        </w:rPr>
        <w:t>una</w:t>
      </w:r>
      <w:r w:rsidR="00EE66E2" w:rsidRPr="000D6D3D">
        <w:rPr>
          <w:rFonts w:ascii="Times New Roman" w:hAnsi="Times New Roman" w:cs="Times New Roman"/>
          <w:color w:val="4472C4" w:themeColor="accent5"/>
          <w:sz w:val="24"/>
          <w:szCs w:val="24"/>
        </w:rPr>
        <w:t xml:space="preserve"> relación temporal entre neutropenia y el desarrollo de infección</w:t>
      </w:r>
      <w:r w:rsidR="0014424A" w:rsidRPr="000D6D3D">
        <w:rPr>
          <w:rFonts w:ascii="Times New Roman" w:hAnsi="Times New Roman" w:cs="Times New Roman"/>
          <w:sz w:val="24"/>
          <w:szCs w:val="24"/>
        </w:rPr>
        <w:t xml:space="preserve"> [28]</w:t>
      </w:r>
      <w:r w:rsidR="00EE66E2" w:rsidRPr="000D6D3D">
        <w:rPr>
          <w:rFonts w:ascii="Times New Roman" w:hAnsi="Times New Roman" w:cs="Times New Roman"/>
          <w:sz w:val="24"/>
          <w:szCs w:val="24"/>
        </w:rPr>
        <w:t>.</w:t>
      </w:r>
    </w:p>
    <w:p w:rsidR="007B2804" w:rsidRPr="000D6D3D" w:rsidRDefault="007B2804" w:rsidP="0064099D">
      <w:pPr>
        <w:pStyle w:val="Sinespaciado"/>
        <w:spacing w:line="360" w:lineRule="auto"/>
        <w:jc w:val="both"/>
        <w:rPr>
          <w:rFonts w:ascii="Times New Roman" w:hAnsi="Times New Roman" w:cs="Times New Roman"/>
          <w:sz w:val="24"/>
          <w:szCs w:val="24"/>
        </w:rPr>
      </w:pPr>
    </w:p>
    <w:p w:rsidR="008B580F" w:rsidRPr="000D6D3D" w:rsidRDefault="009A1B8A" w:rsidP="0064099D">
      <w:pPr>
        <w:pStyle w:val="Sinespaciado"/>
        <w:spacing w:line="360" w:lineRule="auto"/>
        <w:jc w:val="both"/>
        <w:rPr>
          <w:rFonts w:ascii="Times New Roman" w:hAnsi="Times New Roman" w:cs="Times New Roman"/>
          <w:sz w:val="24"/>
          <w:szCs w:val="24"/>
          <w:lang w:val="es-ES"/>
        </w:rPr>
      </w:pPr>
      <w:r w:rsidRPr="000D6D3D">
        <w:rPr>
          <w:rFonts w:ascii="Times New Roman" w:hAnsi="Times New Roman" w:cs="Times New Roman"/>
          <w:sz w:val="24"/>
          <w:szCs w:val="24"/>
          <w:lang w:val="es-ES"/>
        </w:rPr>
        <w:t>En nuestro estudio, l</w:t>
      </w:r>
      <w:r w:rsidR="008B580F" w:rsidRPr="000D6D3D">
        <w:rPr>
          <w:rFonts w:ascii="Times New Roman" w:hAnsi="Times New Roman" w:cs="Times New Roman"/>
          <w:sz w:val="24"/>
          <w:szCs w:val="24"/>
          <w:lang w:val="es-ES"/>
        </w:rPr>
        <w:t>os 17 pacientes que desarrollaron infección recibieron de forma concomitante un glucocorticoide, principalm</w:t>
      </w:r>
      <w:r w:rsidR="0015332B" w:rsidRPr="000D6D3D">
        <w:rPr>
          <w:rFonts w:ascii="Times New Roman" w:hAnsi="Times New Roman" w:cs="Times New Roman"/>
          <w:sz w:val="24"/>
          <w:szCs w:val="24"/>
          <w:lang w:val="es-ES"/>
        </w:rPr>
        <w:t xml:space="preserve">ente metilprednisolona </w:t>
      </w:r>
      <w:r w:rsidR="00F869D2" w:rsidRPr="000D6D3D">
        <w:rPr>
          <w:rFonts w:ascii="Times New Roman" w:hAnsi="Times New Roman" w:cs="Times New Roman"/>
          <w:sz w:val="24"/>
          <w:szCs w:val="24"/>
          <w:lang w:val="es-ES"/>
        </w:rPr>
        <w:t>o</w:t>
      </w:r>
      <w:r w:rsidR="008B580F" w:rsidRPr="000D6D3D">
        <w:rPr>
          <w:rFonts w:ascii="Times New Roman" w:hAnsi="Times New Roman" w:cs="Times New Roman"/>
          <w:sz w:val="24"/>
          <w:szCs w:val="24"/>
          <w:lang w:val="es-ES"/>
        </w:rPr>
        <w:t xml:space="preserve"> dexametasona. </w:t>
      </w:r>
      <w:r w:rsidR="0054160C" w:rsidRPr="000D6D3D">
        <w:rPr>
          <w:rFonts w:ascii="Times New Roman" w:hAnsi="Times New Roman" w:cs="Times New Roman"/>
          <w:sz w:val="24"/>
          <w:szCs w:val="24"/>
          <w:lang w:val="es-ES"/>
        </w:rPr>
        <w:t xml:space="preserve">Estos fármacos, al igual que TCZ suprimen la actividad de IL-6, pero adicionalmente </w:t>
      </w:r>
      <w:r w:rsidR="008B580F" w:rsidRPr="000D6D3D">
        <w:rPr>
          <w:rFonts w:ascii="Times New Roman" w:hAnsi="Times New Roman" w:cs="Times New Roman"/>
          <w:sz w:val="24"/>
          <w:szCs w:val="24"/>
          <w:lang w:val="es-ES"/>
        </w:rPr>
        <w:t xml:space="preserve">antagonizan la diferenciación de macrófagos y suprimen la producción </w:t>
      </w:r>
      <w:r w:rsidR="00F869D2" w:rsidRPr="000D6D3D">
        <w:rPr>
          <w:rFonts w:ascii="Times New Roman" w:hAnsi="Times New Roman" w:cs="Times New Roman"/>
          <w:sz w:val="24"/>
          <w:szCs w:val="24"/>
          <w:lang w:val="es-ES"/>
        </w:rPr>
        <w:t>de</w:t>
      </w:r>
      <w:r w:rsidR="008B580F" w:rsidRPr="000D6D3D">
        <w:rPr>
          <w:rFonts w:ascii="Times New Roman" w:hAnsi="Times New Roman" w:cs="Times New Roman"/>
          <w:sz w:val="24"/>
          <w:szCs w:val="24"/>
          <w:lang w:val="es-ES"/>
        </w:rPr>
        <w:t xml:space="preserve"> </w:t>
      </w:r>
      <w:r w:rsidR="00F869D2" w:rsidRPr="000D6D3D">
        <w:rPr>
          <w:rFonts w:ascii="Times New Roman" w:hAnsi="Times New Roman" w:cs="Times New Roman"/>
          <w:sz w:val="24"/>
          <w:szCs w:val="24"/>
          <w:lang w:val="es-ES"/>
        </w:rPr>
        <w:t>IL</w:t>
      </w:r>
      <w:r w:rsidR="007F0C50" w:rsidRPr="000D6D3D">
        <w:rPr>
          <w:rFonts w:ascii="Times New Roman" w:hAnsi="Times New Roman" w:cs="Times New Roman"/>
          <w:sz w:val="24"/>
          <w:szCs w:val="24"/>
          <w:lang w:val="es-ES"/>
        </w:rPr>
        <w:t>-</w:t>
      </w:r>
      <w:r w:rsidR="00F869D2" w:rsidRPr="000D6D3D">
        <w:rPr>
          <w:rFonts w:ascii="Times New Roman" w:hAnsi="Times New Roman" w:cs="Times New Roman"/>
          <w:sz w:val="24"/>
          <w:szCs w:val="24"/>
          <w:lang w:val="es-ES"/>
        </w:rPr>
        <w:t xml:space="preserve">1, </w:t>
      </w:r>
      <w:r w:rsidR="008B580F" w:rsidRPr="000D6D3D">
        <w:rPr>
          <w:rFonts w:ascii="Times New Roman" w:hAnsi="Times New Roman" w:cs="Times New Roman"/>
          <w:sz w:val="24"/>
          <w:szCs w:val="24"/>
          <w:lang w:val="es-ES"/>
        </w:rPr>
        <w:t xml:space="preserve">TNF, prostaglandinas y leucotrienos proinflamatorios, </w:t>
      </w:r>
      <w:r w:rsidR="00001965" w:rsidRPr="000D6D3D">
        <w:rPr>
          <w:rFonts w:ascii="Times New Roman" w:hAnsi="Times New Roman" w:cs="Times New Roman"/>
          <w:sz w:val="24"/>
          <w:szCs w:val="24"/>
          <w:lang w:val="es-ES"/>
        </w:rPr>
        <w:t>considerándose un factor de riesgo independiente en el desarrollo de infecciones</w:t>
      </w:r>
      <w:r w:rsidR="008B580F" w:rsidRPr="000D6D3D">
        <w:rPr>
          <w:rFonts w:ascii="Times New Roman" w:hAnsi="Times New Roman" w:cs="Times New Roman"/>
          <w:sz w:val="24"/>
          <w:szCs w:val="24"/>
          <w:lang w:val="es-ES"/>
        </w:rPr>
        <w:t xml:space="preserve"> [</w:t>
      </w:r>
      <w:r w:rsidR="00271C0E" w:rsidRPr="000D6D3D">
        <w:rPr>
          <w:rFonts w:ascii="Times New Roman" w:hAnsi="Times New Roman" w:cs="Times New Roman"/>
          <w:sz w:val="24"/>
          <w:szCs w:val="24"/>
          <w:lang w:val="es-ES"/>
        </w:rPr>
        <w:t>29</w:t>
      </w:r>
      <w:r w:rsidR="008B580F" w:rsidRPr="000D6D3D">
        <w:rPr>
          <w:rFonts w:ascii="Times New Roman" w:hAnsi="Times New Roman" w:cs="Times New Roman"/>
          <w:sz w:val="24"/>
          <w:szCs w:val="24"/>
          <w:lang w:val="es-ES"/>
        </w:rPr>
        <w:t xml:space="preserve">]. </w:t>
      </w:r>
      <w:r w:rsidR="00D031FB" w:rsidRPr="006777D2">
        <w:rPr>
          <w:rFonts w:ascii="Times New Roman" w:hAnsi="Times New Roman" w:cs="Times New Roman"/>
          <w:color w:val="4472C4" w:themeColor="accent5"/>
          <w:sz w:val="24"/>
          <w:szCs w:val="24"/>
          <w:lang w:val="es-ES"/>
        </w:rPr>
        <w:t xml:space="preserve">Por otra parte, no </w:t>
      </w:r>
      <w:r w:rsidR="00CB128E" w:rsidRPr="006777D2">
        <w:rPr>
          <w:rFonts w:ascii="Times New Roman" w:hAnsi="Times New Roman" w:cs="Times New Roman"/>
          <w:color w:val="4472C4" w:themeColor="accent5"/>
          <w:sz w:val="24"/>
          <w:szCs w:val="24"/>
          <w:lang w:val="es-ES"/>
        </w:rPr>
        <w:t>fue</w:t>
      </w:r>
      <w:r w:rsidR="00D031FB" w:rsidRPr="006777D2">
        <w:rPr>
          <w:rFonts w:ascii="Times New Roman" w:hAnsi="Times New Roman" w:cs="Times New Roman"/>
          <w:color w:val="4472C4" w:themeColor="accent5"/>
          <w:sz w:val="24"/>
          <w:szCs w:val="24"/>
          <w:lang w:val="es-ES"/>
        </w:rPr>
        <w:t xml:space="preserve"> posible descartar el desarrollo de infección asociado a </w:t>
      </w:r>
      <w:r w:rsidR="00271C0E" w:rsidRPr="006777D2">
        <w:rPr>
          <w:rFonts w:ascii="Times New Roman" w:hAnsi="Times New Roman" w:cs="Times New Roman"/>
          <w:color w:val="4472C4" w:themeColor="accent5"/>
          <w:sz w:val="24"/>
          <w:szCs w:val="24"/>
          <w:lang w:val="es-ES"/>
        </w:rPr>
        <w:t>la falta de cumplimiento de medidas de prevención como aislamiento respiratorio y de contacto aplicada</w:t>
      </w:r>
      <w:r w:rsidR="00CB128E" w:rsidRPr="006777D2">
        <w:rPr>
          <w:rFonts w:ascii="Times New Roman" w:hAnsi="Times New Roman" w:cs="Times New Roman"/>
          <w:color w:val="4472C4" w:themeColor="accent5"/>
          <w:sz w:val="24"/>
          <w:szCs w:val="24"/>
          <w:lang w:val="es-ES"/>
        </w:rPr>
        <w:t xml:space="preserve"> en nuestro hospital</w:t>
      </w:r>
      <w:r w:rsidR="00D031FB" w:rsidRPr="006777D2">
        <w:rPr>
          <w:rFonts w:ascii="Times New Roman" w:hAnsi="Times New Roman" w:cs="Times New Roman"/>
          <w:color w:val="4472C4" w:themeColor="accent5"/>
          <w:sz w:val="24"/>
          <w:szCs w:val="24"/>
          <w:lang w:val="es-ES"/>
        </w:rPr>
        <w:t>, dado que no fue evaluada su adherencia.</w:t>
      </w:r>
      <w:r w:rsidR="00474F23" w:rsidRPr="000D6D3D">
        <w:rPr>
          <w:rFonts w:ascii="Times New Roman" w:hAnsi="Times New Roman" w:cs="Times New Roman"/>
          <w:color w:val="4472C4" w:themeColor="accent5"/>
          <w:sz w:val="24"/>
          <w:szCs w:val="24"/>
          <w:lang w:val="es-ES"/>
        </w:rPr>
        <w:t xml:space="preserve"> </w:t>
      </w:r>
      <w:r w:rsidR="008B580F" w:rsidRPr="000D6D3D">
        <w:rPr>
          <w:rFonts w:ascii="Times New Roman" w:hAnsi="Times New Roman" w:cs="Times New Roman"/>
          <w:sz w:val="24"/>
          <w:szCs w:val="24"/>
          <w:lang w:val="es-ES"/>
        </w:rPr>
        <w:t xml:space="preserve">Por </w:t>
      </w:r>
      <w:r w:rsidR="00474F23" w:rsidRPr="000D6D3D">
        <w:rPr>
          <w:rFonts w:ascii="Times New Roman" w:hAnsi="Times New Roman" w:cs="Times New Roman"/>
          <w:sz w:val="24"/>
          <w:szCs w:val="24"/>
          <w:lang w:val="es-ES"/>
        </w:rPr>
        <w:t>estas</w:t>
      </w:r>
      <w:r w:rsidR="008B580F" w:rsidRPr="000D6D3D">
        <w:rPr>
          <w:rFonts w:ascii="Times New Roman" w:hAnsi="Times New Roman" w:cs="Times New Roman"/>
          <w:sz w:val="24"/>
          <w:szCs w:val="24"/>
          <w:lang w:val="es-ES"/>
        </w:rPr>
        <w:t xml:space="preserve"> </w:t>
      </w:r>
      <w:r w:rsidR="00474F23" w:rsidRPr="000D6D3D">
        <w:rPr>
          <w:rFonts w:ascii="Times New Roman" w:hAnsi="Times New Roman" w:cs="Times New Roman"/>
          <w:sz w:val="24"/>
          <w:szCs w:val="24"/>
          <w:lang w:val="es-ES"/>
        </w:rPr>
        <w:t>razones</w:t>
      </w:r>
      <w:r w:rsidR="008B580F" w:rsidRPr="000D6D3D">
        <w:rPr>
          <w:rFonts w:ascii="Times New Roman" w:hAnsi="Times New Roman" w:cs="Times New Roman"/>
          <w:sz w:val="24"/>
          <w:szCs w:val="24"/>
          <w:lang w:val="es-ES"/>
        </w:rPr>
        <w:t xml:space="preserve">, las RAM infecciosas fueron clasificadas como eventos </w:t>
      </w:r>
      <w:r w:rsidR="008B580F" w:rsidRPr="000D6D3D">
        <w:rPr>
          <w:rFonts w:ascii="Times New Roman" w:hAnsi="Times New Roman" w:cs="Times New Roman"/>
          <w:i/>
          <w:sz w:val="24"/>
          <w:szCs w:val="24"/>
          <w:lang w:val="es-ES"/>
        </w:rPr>
        <w:t>Posibles</w:t>
      </w:r>
      <w:r w:rsidR="008B580F" w:rsidRPr="000D6D3D">
        <w:rPr>
          <w:rFonts w:ascii="Times New Roman" w:hAnsi="Times New Roman" w:cs="Times New Roman"/>
          <w:sz w:val="24"/>
          <w:szCs w:val="24"/>
          <w:lang w:val="es-ES"/>
        </w:rPr>
        <w:t xml:space="preserve"> y </w:t>
      </w:r>
      <w:r w:rsidR="008B580F" w:rsidRPr="000D6D3D">
        <w:rPr>
          <w:rFonts w:ascii="Times New Roman" w:hAnsi="Times New Roman" w:cs="Times New Roman"/>
          <w:i/>
          <w:sz w:val="24"/>
          <w:szCs w:val="24"/>
          <w:lang w:val="es-ES"/>
        </w:rPr>
        <w:t xml:space="preserve">No </w:t>
      </w:r>
      <w:r w:rsidR="004449E9" w:rsidRPr="000D6D3D">
        <w:rPr>
          <w:rFonts w:ascii="Times New Roman" w:hAnsi="Times New Roman" w:cs="Times New Roman"/>
          <w:i/>
          <w:sz w:val="24"/>
          <w:szCs w:val="24"/>
          <w:lang w:val="es-ES"/>
        </w:rPr>
        <w:t>P</w:t>
      </w:r>
      <w:r w:rsidR="008B580F" w:rsidRPr="000D6D3D">
        <w:rPr>
          <w:rFonts w:ascii="Times New Roman" w:hAnsi="Times New Roman" w:cs="Times New Roman"/>
          <w:i/>
          <w:sz w:val="24"/>
          <w:szCs w:val="24"/>
          <w:lang w:val="es-ES"/>
        </w:rPr>
        <w:t>revenibles</w:t>
      </w:r>
      <w:r w:rsidR="008B580F" w:rsidRPr="000D6D3D">
        <w:rPr>
          <w:rFonts w:ascii="Times New Roman" w:hAnsi="Times New Roman" w:cs="Times New Roman"/>
          <w:sz w:val="24"/>
          <w:szCs w:val="24"/>
          <w:lang w:val="es-ES"/>
        </w:rPr>
        <w:t xml:space="preserve">. Solo una infección fue considerada como </w:t>
      </w:r>
      <w:r w:rsidR="008B580F" w:rsidRPr="000D6D3D">
        <w:rPr>
          <w:rFonts w:ascii="Times New Roman" w:hAnsi="Times New Roman" w:cs="Times New Roman"/>
          <w:i/>
          <w:sz w:val="24"/>
          <w:szCs w:val="24"/>
          <w:lang w:val="es-ES"/>
        </w:rPr>
        <w:t>Definitivamente Prevenible</w:t>
      </w:r>
      <w:r w:rsidR="008B580F" w:rsidRPr="000D6D3D">
        <w:rPr>
          <w:rFonts w:ascii="Times New Roman" w:hAnsi="Times New Roman" w:cs="Times New Roman"/>
          <w:sz w:val="24"/>
          <w:szCs w:val="24"/>
          <w:lang w:val="es-ES"/>
        </w:rPr>
        <w:t>, dado que fue administrado TCZ al paciente pese a tener un hemocultivo positivo. La recomendación actual es no administrar TCZ en pacientes que cursen activamente una infección fúngica o bacteriana</w:t>
      </w:r>
      <w:r w:rsidR="00CB0E78" w:rsidRPr="000D6D3D">
        <w:rPr>
          <w:rFonts w:ascii="Times New Roman" w:hAnsi="Times New Roman" w:cs="Times New Roman"/>
          <w:sz w:val="24"/>
          <w:szCs w:val="24"/>
          <w:lang w:val="es-ES"/>
        </w:rPr>
        <w:t xml:space="preserve"> [</w:t>
      </w:r>
      <w:r w:rsidR="00B122E0" w:rsidRPr="000D6D3D">
        <w:rPr>
          <w:rFonts w:ascii="Times New Roman" w:hAnsi="Times New Roman" w:cs="Times New Roman"/>
          <w:sz w:val="24"/>
          <w:szCs w:val="24"/>
          <w:lang w:val="es-ES"/>
        </w:rPr>
        <w:t>1</w:t>
      </w:r>
      <w:r w:rsidR="00A73A70" w:rsidRPr="000D6D3D">
        <w:rPr>
          <w:rFonts w:ascii="Times New Roman" w:hAnsi="Times New Roman" w:cs="Times New Roman"/>
          <w:sz w:val="24"/>
          <w:szCs w:val="24"/>
          <w:lang w:val="es-ES"/>
        </w:rPr>
        <w:t>4</w:t>
      </w:r>
      <w:r w:rsidR="00331D7E" w:rsidRPr="000D6D3D">
        <w:rPr>
          <w:rFonts w:ascii="Times New Roman" w:hAnsi="Times New Roman" w:cs="Times New Roman"/>
          <w:sz w:val="24"/>
          <w:szCs w:val="24"/>
          <w:lang w:val="es-ES"/>
        </w:rPr>
        <w:t>,</w:t>
      </w:r>
      <w:r w:rsidR="00271C0E" w:rsidRPr="000D6D3D">
        <w:rPr>
          <w:rFonts w:ascii="Times New Roman" w:hAnsi="Times New Roman" w:cs="Times New Roman"/>
          <w:sz w:val="24"/>
          <w:szCs w:val="24"/>
          <w:lang w:val="es-ES"/>
        </w:rPr>
        <w:t>30</w:t>
      </w:r>
      <w:r w:rsidR="00CB0E78" w:rsidRPr="000D6D3D">
        <w:rPr>
          <w:rFonts w:ascii="Times New Roman" w:hAnsi="Times New Roman" w:cs="Times New Roman"/>
          <w:sz w:val="24"/>
          <w:szCs w:val="24"/>
          <w:lang w:val="es-ES"/>
        </w:rPr>
        <w:t>]</w:t>
      </w:r>
      <w:r w:rsidR="008B580F" w:rsidRPr="000D6D3D">
        <w:rPr>
          <w:rFonts w:ascii="Times New Roman" w:hAnsi="Times New Roman" w:cs="Times New Roman"/>
          <w:sz w:val="24"/>
          <w:szCs w:val="24"/>
          <w:lang w:val="es-ES"/>
        </w:rPr>
        <w:t>.</w:t>
      </w:r>
    </w:p>
    <w:p w:rsidR="008B580F" w:rsidRPr="000D6D3D" w:rsidRDefault="008B580F" w:rsidP="00CF0B2C">
      <w:pPr>
        <w:spacing w:after="0" w:line="360" w:lineRule="auto"/>
        <w:jc w:val="both"/>
        <w:rPr>
          <w:rFonts w:ascii="Times New Roman" w:hAnsi="Times New Roman" w:cs="Times New Roman"/>
          <w:sz w:val="24"/>
          <w:szCs w:val="24"/>
          <w:lang w:val="es-ES"/>
        </w:rPr>
      </w:pPr>
    </w:p>
    <w:p w:rsidR="008B580F" w:rsidRPr="000D6D3D" w:rsidRDefault="008B580F" w:rsidP="00CF0B2C">
      <w:pPr>
        <w:autoSpaceDE w:val="0"/>
        <w:autoSpaceDN w:val="0"/>
        <w:adjustRightInd w:val="0"/>
        <w:spacing w:after="0" w:line="360" w:lineRule="auto"/>
        <w:jc w:val="both"/>
        <w:rPr>
          <w:rFonts w:ascii="Times New Roman" w:eastAsia="Times New Roman" w:hAnsi="Times New Roman" w:cs="Times New Roman"/>
          <w:sz w:val="24"/>
          <w:szCs w:val="24"/>
          <w:lang w:val="es-ES"/>
        </w:rPr>
      </w:pPr>
      <w:r w:rsidRPr="000D6D3D">
        <w:rPr>
          <w:rFonts w:ascii="Times New Roman" w:hAnsi="Times New Roman" w:cs="Times New Roman"/>
          <w:sz w:val="24"/>
          <w:szCs w:val="24"/>
        </w:rPr>
        <w:t xml:space="preserve">Respecto a los tiempos de desarrollo de infección, observamos que en el </w:t>
      </w:r>
      <w:r w:rsidRPr="000D6D3D">
        <w:rPr>
          <w:rFonts w:ascii="Times New Roman" w:eastAsia="Times New Roman" w:hAnsi="Times New Roman" w:cs="Times New Roman"/>
          <w:sz w:val="24"/>
          <w:szCs w:val="24"/>
          <w:lang w:val="es-ES"/>
        </w:rPr>
        <w:t xml:space="preserve">92,1% de los casos los </w:t>
      </w:r>
      <w:r w:rsidRPr="000D6D3D">
        <w:rPr>
          <w:rFonts w:ascii="Times New Roman" w:hAnsi="Times New Roman" w:cs="Times New Roman"/>
          <w:sz w:val="24"/>
          <w:szCs w:val="24"/>
        </w:rPr>
        <w:t>microorganismos aparecieron posterior a la primera semana desde la administración de TCZ</w:t>
      </w:r>
      <w:r w:rsidRPr="000D6D3D">
        <w:rPr>
          <w:rFonts w:ascii="Times New Roman" w:eastAsia="Times New Roman" w:hAnsi="Times New Roman" w:cs="Times New Roman"/>
          <w:sz w:val="24"/>
          <w:szCs w:val="24"/>
          <w:lang w:val="es-ES"/>
        </w:rPr>
        <w:t xml:space="preserve">. Con excepción de tres hemocultivos (2 </w:t>
      </w:r>
      <w:r w:rsidRPr="000D6D3D">
        <w:rPr>
          <w:rFonts w:ascii="Times New Roman" w:eastAsia="Times New Roman" w:hAnsi="Times New Roman" w:cs="Times New Roman"/>
          <w:i/>
          <w:sz w:val="24"/>
          <w:szCs w:val="24"/>
          <w:lang w:val="es-ES"/>
        </w:rPr>
        <w:t xml:space="preserve">P </w:t>
      </w:r>
      <w:proofErr w:type="spellStart"/>
      <w:r w:rsidRPr="000D6D3D">
        <w:rPr>
          <w:rFonts w:ascii="Times New Roman" w:eastAsia="Times New Roman" w:hAnsi="Times New Roman" w:cs="Times New Roman"/>
          <w:i/>
          <w:sz w:val="24"/>
          <w:szCs w:val="24"/>
          <w:lang w:val="es-ES"/>
        </w:rPr>
        <w:t>aeruginosa</w:t>
      </w:r>
      <w:proofErr w:type="spellEnd"/>
      <w:r w:rsidRPr="000D6D3D">
        <w:rPr>
          <w:rFonts w:ascii="Times New Roman" w:eastAsia="Times New Roman" w:hAnsi="Times New Roman" w:cs="Times New Roman"/>
          <w:sz w:val="24"/>
          <w:szCs w:val="24"/>
          <w:lang w:val="es-ES"/>
        </w:rPr>
        <w:t xml:space="preserve"> y 1 </w:t>
      </w:r>
      <w:r w:rsidRPr="000D6D3D">
        <w:rPr>
          <w:rFonts w:ascii="Times New Roman" w:eastAsia="Times New Roman" w:hAnsi="Times New Roman" w:cs="Times New Roman"/>
          <w:i/>
          <w:sz w:val="24"/>
          <w:szCs w:val="24"/>
          <w:lang w:val="es-ES"/>
        </w:rPr>
        <w:t xml:space="preserve">C </w:t>
      </w:r>
      <w:proofErr w:type="spellStart"/>
      <w:r w:rsidRPr="000D6D3D">
        <w:rPr>
          <w:rFonts w:ascii="Times New Roman" w:eastAsia="Times New Roman" w:hAnsi="Times New Roman" w:cs="Times New Roman"/>
          <w:i/>
          <w:sz w:val="24"/>
          <w:szCs w:val="24"/>
          <w:lang w:val="es-ES"/>
        </w:rPr>
        <w:t>parapsilosis</w:t>
      </w:r>
      <w:proofErr w:type="spellEnd"/>
      <w:r w:rsidRPr="000D6D3D">
        <w:rPr>
          <w:rFonts w:ascii="Times New Roman" w:eastAsia="Times New Roman" w:hAnsi="Times New Roman" w:cs="Times New Roman"/>
          <w:sz w:val="24"/>
          <w:szCs w:val="24"/>
          <w:lang w:val="es-ES"/>
        </w:rPr>
        <w:t>), todos los microorganismos en sangre aparecieron luego de la segunda semana de haber recibido TCZ. Similar a lo reportado en otro estudio observacional, donde el promedio de días de desarrollo de infección fue de 11,3 d</w:t>
      </w:r>
      <w:r w:rsidR="00974F13" w:rsidRPr="000D6D3D">
        <w:rPr>
          <w:rFonts w:ascii="Times New Roman" w:eastAsia="Times New Roman" w:hAnsi="Times New Roman" w:cs="Times New Roman"/>
          <w:sz w:val="24"/>
          <w:szCs w:val="24"/>
          <w:lang w:val="es-ES"/>
        </w:rPr>
        <w:t>ías en el grupo que recibió TCZ</w:t>
      </w:r>
      <w:r w:rsidRPr="000D6D3D">
        <w:rPr>
          <w:rFonts w:ascii="Times New Roman" w:eastAsia="Times New Roman" w:hAnsi="Times New Roman" w:cs="Times New Roman"/>
          <w:sz w:val="24"/>
          <w:szCs w:val="24"/>
          <w:lang w:val="es-ES"/>
        </w:rPr>
        <w:t>. [</w:t>
      </w:r>
      <w:r w:rsidR="00271C0E" w:rsidRPr="000D6D3D">
        <w:rPr>
          <w:rFonts w:ascii="Times New Roman" w:eastAsia="Times New Roman" w:hAnsi="Times New Roman" w:cs="Times New Roman"/>
          <w:sz w:val="24"/>
          <w:szCs w:val="24"/>
          <w:lang w:val="es-ES"/>
        </w:rPr>
        <w:t>30</w:t>
      </w:r>
      <w:r w:rsidRPr="000D6D3D">
        <w:rPr>
          <w:rFonts w:ascii="Times New Roman" w:eastAsia="Times New Roman" w:hAnsi="Times New Roman" w:cs="Times New Roman"/>
          <w:sz w:val="24"/>
          <w:szCs w:val="24"/>
          <w:lang w:val="es-ES"/>
        </w:rPr>
        <w:t>]</w:t>
      </w:r>
    </w:p>
    <w:p w:rsidR="00090AE8" w:rsidRPr="000D6D3D" w:rsidRDefault="00090AE8" w:rsidP="00CF0B2C">
      <w:pPr>
        <w:autoSpaceDE w:val="0"/>
        <w:autoSpaceDN w:val="0"/>
        <w:adjustRightInd w:val="0"/>
        <w:spacing w:after="0" w:line="360" w:lineRule="auto"/>
        <w:jc w:val="both"/>
        <w:rPr>
          <w:rFonts w:ascii="Times New Roman" w:eastAsia="Times New Roman" w:hAnsi="Times New Roman" w:cs="Times New Roman"/>
          <w:sz w:val="24"/>
          <w:szCs w:val="24"/>
          <w:lang w:val="es-ES"/>
        </w:rPr>
      </w:pPr>
    </w:p>
    <w:p w:rsidR="00374146" w:rsidRPr="000D6D3D" w:rsidRDefault="00374146" w:rsidP="00CF0B2C">
      <w:pPr>
        <w:autoSpaceDE w:val="0"/>
        <w:autoSpaceDN w:val="0"/>
        <w:adjustRightInd w:val="0"/>
        <w:spacing w:after="0" w:line="360" w:lineRule="auto"/>
        <w:jc w:val="both"/>
        <w:rPr>
          <w:rFonts w:ascii="Times New Roman" w:eastAsia="Times New Roman" w:hAnsi="Times New Roman" w:cs="Times New Roman"/>
          <w:sz w:val="24"/>
          <w:szCs w:val="24"/>
          <w:lang w:val="es-ES"/>
        </w:rPr>
      </w:pPr>
    </w:p>
    <w:p w:rsidR="008B580F" w:rsidRPr="000D6D3D" w:rsidRDefault="008B580F" w:rsidP="00CF0B2C">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sz w:val="24"/>
          <w:szCs w:val="24"/>
          <w:lang w:val="es-ES"/>
        </w:rPr>
        <w:lastRenderedPageBreak/>
        <w:t>Limitaciones</w:t>
      </w:r>
    </w:p>
    <w:p w:rsidR="008B580F" w:rsidRPr="000D6D3D" w:rsidRDefault="001317CF" w:rsidP="00CF0B2C">
      <w:pPr>
        <w:spacing w:after="0" w:line="360" w:lineRule="auto"/>
        <w:jc w:val="both"/>
        <w:rPr>
          <w:rFonts w:ascii="Times New Roman" w:eastAsia="Times New Roman" w:hAnsi="Times New Roman" w:cs="Times New Roman"/>
          <w:sz w:val="24"/>
          <w:szCs w:val="24"/>
          <w:lang w:val="es-ES"/>
        </w:rPr>
      </w:pPr>
      <w:r w:rsidRPr="000D6D3D">
        <w:rPr>
          <w:rFonts w:ascii="Times New Roman" w:eastAsia="Times New Roman" w:hAnsi="Times New Roman" w:cs="Times New Roman"/>
          <w:sz w:val="24"/>
          <w:szCs w:val="24"/>
          <w:lang w:val="es-ES"/>
        </w:rPr>
        <w:t>Esta</w:t>
      </w:r>
      <w:r w:rsidR="00E03FAA" w:rsidRPr="000D6D3D">
        <w:rPr>
          <w:rFonts w:ascii="Times New Roman" w:eastAsia="Times New Roman" w:hAnsi="Times New Roman" w:cs="Times New Roman"/>
          <w:sz w:val="24"/>
          <w:szCs w:val="24"/>
          <w:lang w:val="es-ES"/>
        </w:rPr>
        <w:t xml:space="preserve"> investigación</w:t>
      </w:r>
      <w:r w:rsidRPr="000D6D3D">
        <w:rPr>
          <w:rFonts w:ascii="Times New Roman" w:eastAsia="Times New Roman" w:hAnsi="Times New Roman" w:cs="Times New Roman"/>
          <w:sz w:val="24"/>
          <w:szCs w:val="24"/>
          <w:lang w:val="es-ES"/>
        </w:rPr>
        <w:t xml:space="preserve"> fue</w:t>
      </w:r>
      <w:r w:rsidR="00E03FAA" w:rsidRPr="000D6D3D">
        <w:rPr>
          <w:rFonts w:ascii="Times New Roman" w:eastAsia="Times New Roman" w:hAnsi="Times New Roman" w:cs="Times New Roman"/>
          <w:sz w:val="24"/>
          <w:szCs w:val="24"/>
          <w:lang w:val="es-ES"/>
        </w:rPr>
        <w:t xml:space="preserve"> realizada en un solo centro</w:t>
      </w:r>
      <w:r w:rsidRPr="000D6D3D">
        <w:rPr>
          <w:rFonts w:ascii="Times New Roman" w:eastAsia="Times New Roman" w:hAnsi="Times New Roman" w:cs="Times New Roman"/>
          <w:sz w:val="24"/>
          <w:szCs w:val="24"/>
          <w:lang w:val="es-ES"/>
        </w:rPr>
        <w:t xml:space="preserve"> y estuvo</w:t>
      </w:r>
      <w:r w:rsidR="00E03FAA" w:rsidRPr="000D6D3D">
        <w:rPr>
          <w:rFonts w:ascii="Times New Roman" w:eastAsia="Times New Roman" w:hAnsi="Times New Roman" w:cs="Times New Roman"/>
          <w:sz w:val="24"/>
          <w:szCs w:val="24"/>
          <w:lang w:val="es-ES"/>
        </w:rPr>
        <w:t xml:space="preserve"> enmarcada en</w:t>
      </w:r>
      <w:r w:rsidR="008B580F" w:rsidRPr="000D6D3D">
        <w:rPr>
          <w:rFonts w:ascii="Times New Roman" w:eastAsia="Times New Roman" w:hAnsi="Times New Roman" w:cs="Times New Roman"/>
          <w:sz w:val="24"/>
          <w:szCs w:val="24"/>
          <w:lang w:val="es-ES"/>
        </w:rPr>
        <w:t xml:space="preserve"> </w:t>
      </w:r>
      <w:r w:rsidR="006B025B" w:rsidRPr="000D6D3D">
        <w:rPr>
          <w:rFonts w:ascii="Times New Roman" w:eastAsia="Times New Roman" w:hAnsi="Times New Roman" w:cs="Times New Roman"/>
          <w:sz w:val="24"/>
          <w:szCs w:val="24"/>
          <w:lang w:val="es-ES"/>
        </w:rPr>
        <w:t>la</w:t>
      </w:r>
      <w:r w:rsidR="008B580F" w:rsidRPr="000D6D3D">
        <w:rPr>
          <w:rFonts w:ascii="Times New Roman" w:eastAsia="Times New Roman" w:hAnsi="Times New Roman" w:cs="Times New Roman"/>
          <w:sz w:val="24"/>
          <w:szCs w:val="24"/>
          <w:lang w:val="es-ES"/>
        </w:rPr>
        <w:t xml:space="preserve"> actividad </w:t>
      </w:r>
      <w:r w:rsidR="006B025B" w:rsidRPr="000D6D3D">
        <w:rPr>
          <w:rFonts w:ascii="Times New Roman" w:eastAsia="Times New Roman" w:hAnsi="Times New Roman" w:cs="Times New Roman"/>
          <w:sz w:val="24"/>
          <w:szCs w:val="24"/>
          <w:lang w:val="es-ES"/>
        </w:rPr>
        <w:t>de</w:t>
      </w:r>
      <w:r w:rsidR="008B580F" w:rsidRPr="000D6D3D">
        <w:rPr>
          <w:rFonts w:ascii="Times New Roman" w:eastAsia="Times New Roman" w:hAnsi="Times New Roman" w:cs="Times New Roman"/>
          <w:sz w:val="24"/>
          <w:szCs w:val="24"/>
          <w:lang w:val="es-ES"/>
        </w:rPr>
        <w:t xml:space="preserve"> Farmacovigilancia</w:t>
      </w:r>
      <w:r w:rsidR="00F37E89" w:rsidRPr="000D6D3D">
        <w:rPr>
          <w:rFonts w:ascii="Times New Roman" w:eastAsia="Times New Roman" w:hAnsi="Times New Roman" w:cs="Times New Roman"/>
          <w:sz w:val="24"/>
          <w:szCs w:val="24"/>
          <w:lang w:val="es-ES"/>
        </w:rPr>
        <w:t xml:space="preserve"> </w:t>
      </w:r>
      <w:r w:rsidR="000F7C29" w:rsidRPr="000D6D3D">
        <w:rPr>
          <w:rFonts w:ascii="Times New Roman" w:eastAsia="Times New Roman" w:hAnsi="Times New Roman" w:cs="Times New Roman"/>
          <w:color w:val="4472C4" w:themeColor="accent5"/>
          <w:sz w:val="24"/>
          <w:szCs w:val="24"/>
          <w:lang w:val="es-ES"/>
        </w:rPr>
        <w:t>activa</w:t>
      </w:r>
      <w:r w:rsidR="008B580F" w:rsidRPr="000D6D3D">
        <w:rPr>
          <w:rFonts w:ascii="Times New Roman" w:eastAsia="Times New Roman" w:hAnsi="Times New Roman" w:cs="Times New Roman"/>
          <w:sz w:val="24"/>
          <w:szCs w:val="24"/>
          <w:lang w:val="es-ES"/>
        </w:rPr>
        <w:t>,</w:t>
      </w:r>
      <w:r w:rsidRPr="000D6D3D">
        <w:rPr>
          <w:rFonts w:ascii="Times New Roman" w:eastAsia="Times New Roman" w:hAnsi="Times New Roman" w:cs="Times New Roman"/>
          <w:sz w:val="24"/>
          <w:szCs w:val="24"/>
          <w:lang w:val="es-ES"/>
        </w:rPr>
        <w:t xml:space="preserve"> por lo tanto </w:t>
      </w:r>
      <w:r w:rsidR="008B580F" w:rsidRPr="000D6D3D">
        <w:rPr>
          <w:rFonts w:ascii="Times New Roman" w:eastAsia="Times New Roman" w:hAnsi="Times New Roman" w:cs="Times New Roman"/>
          <w:sz w:val="24"/>
          <w:szCs w:val="24"/>
          <w:lang w:val="es-ES"/>
        </w:rPr>
        <w:t xml:space="preserve">el </w:t>
      </w:r>
      <w:r w:rsidR="00E03FAA" w:rsidRPr="000D6D3D">
        <w:rPr>
          <w:rFonts w:ascii="Times New Roman" w:eastAsia="Times New Roman" w:hAnsi="Times New Roman" w:cs="Times New Roman"/>
          <w:sz w:val="24"/>
          <w:szCs w:val="24"/>
          <w:lang w:val="es-ES"/>
        </w:rPr>
        <w:t>tamaño de la muestra</w:t>
      </w:r>
      <w:r w:rsidRPr="000D6D3D">
        <w:rPr>
          <w:rFonts w:ascii="Times New Roman" w:eastAsia="Times New Roman" w:hAnsi="Times New Roman" w:cs="Times New Roman"/>
          <w:sz w:val="24"/>
          <w:szCs w:val="24"/>
          <w:lang w:val="es-ES"/>
        </w:rPr>
        <w:t xml:space="preserve"> quedó</w:t>
      </w:r>
      <w:r w:rsidR="008B580F" w:rsidRPr="000D6D3D">
        <w:rPr>
          <w:rFonts w:ascii="Times New Roman" w:eastAsia="Times New Roman" w:hAnsi="Times New Roman" w:cs="Times New Roman"/>
          <w:sz w:val="24"/>
          <w:szCs w:val="24"/>
          <w:lang w:val="es-ES"/>
        </w:rPr>
        <w:t xml:space="preserve"> determinado exclusivamente por la indicación médica de TCZ. El carácter no concurrente de esta investigación pudo afectar la evaluación de causalidad y preventibilidad, en la medida que algún diagnóstico o </w:t>
      </w:r>
      <w:proofErr w:type="spellStart"/>
      <w:r w:rsidR="008B580F" w:rsidRPr="000D6D3D">
        <w:rPr>
          <w:rFonts w:ascii="Times New Roman" w:eastAsia="Times New Roman" w:hAnsi="Times New Roman" w:cs="Times New Roman"/>
          <w:sz w:val="24"/>
          <w:szCs w:val="24"/>
          <w:lang w:val="es-ES"/>
        </w:rPr>
        <w:t>co</w:t>
      </w:r>
      <w:proofErr w:type="spellEnd"/>
      <w:r w:rsidR="008B580F" w:rsidRPr="000D6D3D">
        <w:rPr>
          <w:rFonts w:ascii="Times New Roman" w:eastAsia="Times New Roman" w:hAnsi="Times New Roman" w:cs="Times New Roman"/>
          <w:sz w:val="24"/>
          <w:szCs w:val="24"/>
          <w:lang w:val="es-ES"/>
        </w:rPr>
        <w:t>-intervención no quedara registrado en la ficha clínica del paciente.</w:t>
      </w:r>
      <w:r w:rsidR="008B580F" w:rsidRPr="000D6D3D">
        <w:rPr>
          <w:rFonts w:ascii="Times New Roman" w:hAnsi="Times New Roman" w:cs="Times New Roman"/>
          <w:sz w:val="24"/>
          <w:szCs w:val="24"/>
          <w:lang w:val="es-ES"/>
        </w:rPr>
        <w:t xml:space="preserve"> </w:t>
      </w:r>
      <w:r w:rsidR="008B580F" w:rsidRPr="000D6D3D">
        <w:rPr>
          <w:rFonts w:ascii="Times New Roman" w:eastAsia="Times New Roman" w:hAnsi="Times New Roman" w:cs="Times New Roman"/>
          <w:sz w:val="24"/>
          <w:szCs w:val="24"/>
          <w:lang w:val="es-ES"/>
        </w:rPr>
        <w:t xml:space="preserve">Existieron diferencias tanto en el número y frecuencia de exámenes tomados </w:t>
      </w:r>
      <w:r w:rsidR="00CF561A" w:rsidRPr="000D6D3D">
        <w:rPr>
          <w:rFonts w:ascii="Times New Roman" w:eastAsia="Times New Roman" w:hAnsi="Times New Roman" w:cs="Times New Roman"/>
          <w:sz w:val="24"/>
          <w:szCs w:val="24"/>
          <w:lang w:val="es-ES"/>
        </w:rPr>
        <w:t>a</w:t>
      </w:r>
      <w:r w:rsidR="008B580F" w:rsidRPr="000D6D3D">
        <w:rPr>
          <w:rFonts w:ascii="Times New Roman" w:eastAsia="Times New Roman" w:hAnsi="Times New Roman" w:cs="Times New Roman"/>
          <w:sz w:val="24"/>
          <w:szCs w:val="24"/>
          <w:lang w:val="es-ES"/>
        </w:rPr>
        <w:t xml:space="preserve"> paciente</w:t>
      </w:r>
      <w:r w:rsidR="00CF561A" w:rsidRPr="000D6D3D">
        <w:rPr>
          <w:rFonts w:ascii="Times New Roman" w:eastAsia="Times New Roman" w:hAnsi="Times New Roman" w:cs="Times New Roman"/>
          <w:sz w:val="24"/>
          <w:szCs w:val="24"/>
          <w:lang w:val="es-ES"/>
        </w:rPr>
        <w:t>s</w:t>
      </w:r>
      <w:r w:rsidR="008B580F" w:rsidRPr="000D6D3D">
        <w:rPr>
          <w:rFonts w:ascii="Times New Roman" w:eastAsia="Times New Roman" w:hAnsi="Times New Roman" w:cs="Times New Roman"/>
          <w:sz w:val="24"/>
          <w:szCs w:val="24"/>
          <w:lang w:val="es-ES"/>
        </w:rPr>
        <w:t xml:space="preserve">, lo que pudo haber </w:t>
      </w:r>
      <w:r w:rsidR="00F26856" w:rsidRPr="000D6D3D">
        <w:rPr>
          <w:rFonts w:ascii="Times New Roman" w:eastAsia="Times New Roman" w:hAnsi="Times New Roman" w:cs="Times New Roman"/>
          <w:sz w:val="24"/>
          <w:szCs w:val="24"/>
          <w:lang w:val="es-ES"/>
        </w:rPr>
        <w:t>dificultado</w:t>
      </w:r>
      <w:r w:rsidR="008B580F" w:rsidRPr="000D6D3D">
        <w:rPr>
          <w:rFonts w:ascii="Times New Roman" w:eastAsia="Times New Roman" w:hAnsi="Times New Roman" w:cs="Times New Roman"/>
          <w:sz w:val="24"/>
          <w:szCs w:val="24"/>
          <w:lang w:val="es-ES"/>
        </w:rPr>
        <w:t xml:space="preserve"> la </w:t>
      </w:r>
      <w:r w:rsidR="008B7DBE" w:rsidRPr="000D6D3D">
        <w:rPr>
          <w:rFonts w:ascii="Times New Roman" w:eastAsia="Times New Roman" w:hAnsi="Times New Roman" w:cs="Times New Roman"/>
          <w:sz w:val="24"/>
          <w:szCs w:val="24"/>
          <w:lang w:val="es-ES"/>
        </w:rPr>
        <w:t>identificación</w:t>
      </w:r>
      <w:r w:rsidR="008B580F" w:rsidRPr="000D6D3D">
        <w:rPr>
          <w:rFonts w:ascii="Times New Roman" w:eastAsia="Times New Roman" w:hAnsi="Times New Roman" w:cs="Times New Roman"/>
          <w:sz w:val="24"/>
          <w:szCs w:val="24"/>
          <w:lang w:val="es-ES"/>
        </w:rPr>
        <w:t xml:space="preserve"> de una RAM</w:t>
      </w:r>
      <w:r w:rsidR="008B7DBE" w:rsidRPr="000D6D3D">
        <w:rPr>
          <w:rFonts w:ascii="Times New Roman" w:eastAsia="Times New Roman" w:hAnsi="Times New Roman" w:cs="Times New Roman"/>
          <w:sz w:val="24"/>
          <w:szCs w:val="24"/>
          <w:lang w:val="es-ES"/>
        </w:rPr>
        <w:t xml:space="preserve"> (sesgo de información)</w:t>
      </w:r>
      <w:r w:rsidR="008B580F" w:rsidRPr="000D6D3D">
        <w:rPr>
          <w:rFonts w:ascii="Times New Roman" w:eastAsia="Times New Roman" w:hAnsi="Times New Roman" w:cs="Times New Roman"/>
          <w:sz w:val="24"/>
          <w:szCs w:val="24"/>
          <w:lang w:val="es-ES"/>
        </w:rPr>
        <w:t xml:space="preserve">. </w:t>
      </w:r>
      <w:r w:rsidR="00C565BC" w:rsidRPr="006777D2">
        <w:rPr>
          <w:rFonts w:ascii="Times New Roman" w:eastAsia="Times New Roman" w:hAnsi="Times New Roman" w:cs="Times New Roman"/>
          <w:color w:val="4472C4" w:themeColor="accent5"/>
          <w:sz w:val="24"/>
          <w:szCs w:val="24"/>
          <w:lang w:val="es-ES"/>
        </w:rPr>
        <w:t>Dado que s</w:t>
      </w:r>
      <w:r w:rsidR="004759BB" w:rsidRPr="006777D2">
        <w:rPr>
          <w:rFonts w:ascii="Times New Roman" w:eastAsia="Times New Roman" w:hAnsi="Times New Roman" w:cs="Times New Roman"/>
          <w:color w:val="4472C4" w:themeColor="accent5"/>
          <w:sz w:val="24"/>
          <w:szCs w:val="24"/>
          <w:lang w:val="es-ES"/>
        </w:rPr>
        <w:t xml:space="preserve">olo fueron evaluadas las RAM de mayor frecuencia, </w:t>
      </w:r>
      <w:r w:rsidR="00C565BC" w:rsidRPr="006777D2">
        <w:rPr>
          <w:rFonts w:ascii="Times New Roman" w:eastAsia="Times New Roman" w:hAnsi="Times New Roman" w:cs="Times New Roman"/>
          <w:color w:val="4472C4" w:themeColor="accent5"/>
          <w:sz w:val="24"/>
          <w:szCs w:val="24"/>
          <w:lang w:val="es-ES"/>
        </w:rPr>
        <w:t>es posible haber incurrido en una sub-detección de RAM graves de baja incidencia.</w:t>
      </w:r>
    </w:p>
    <w:p w:rsidR="004759BB" w:rsidRPr="000D6D3D" w:rsidRDefault="004759BB" w:rsidP="00CF0B2C">
      <w:pPr>
        <w:spacing w:after="0" w:line="360" w:lineRule="auto"/>
        <w:jc w:val="both"/>
        <w:rPr>
          <w:rFonts w:ascii="Times New Roman" w:eastAsia="Times New Roman" w:hAnsi="Times New Roman" w:cs="Times New Roman"/>
          <w:sz w:val="24"/>
          <w:szCs w:val="24"/>
          <w:lang w:val="es-ES"/>
        </w:rPr>
      </w:pPr>
    </w:p>
    <w:p w:rsidR="008B580F" w:rsidRPr="000D6D3D" w:rsidRDefault="00163A8B" w:rsidP="00CF0B2C">
      <w:pPr>
        <w:spacing w:after="0" w:line="360" w:lineRule="auto"/>
        <w:jc w:val="both"/>
        <w:rPr>
          <w:rFonts w:ascii="Times New Roman" w:hAnsi="Times New Roman" w:cs="Times New Roman"/>
          <w:color w:val="4472C4" w:themeColor="accent5"/>
          <w:sz w:val="24"/>
          <w:szCs w:val="24"/>
          <w:lang w:val="es-ES"/>
        </w:rPr>
      </w:pPr>
      <w:r w:rsidRPr="000D6D3D">
        <w:rPr>
          <w:rFonts w:ascii="Times New Roman" w:hAnsi="Times New Roman" w:cs="Times New Roman"/>
          <w:sz w:val="24"/>
          <w:szCs w:val="24"/>
          <w:lang w:val="es-ES"/>
        </w:rPr>
        <w:t xml:space="preserve">En </w:t>
      </w:r>
      <w:r w:rsidR="008B580F" w:rsidRPr="000D6D3D">
        <w:rPr>
          <w:rFonts w:ascii="Times New Roman" w:hAnsi="Times New Roman" w:cs="Times New Roman"/>
          <w:sz w:val="24"/>
          <w:szCs w:val="24"/>
          <w:lang w:val="es-ES"/>
        </w:rPr>
        <w:t xml:space="preserve">nuestra investigación </w:t>
      </w:r>
      <w:r w:rsidR="00FB5D39" w:rsidRPr="000D6D3D">
        <w:rPr>
          <w:rFonts w:ascii="Times New Roman" w:hAnsi="Times New Roman" w:cs="Times New Roman"/>
          <w:sz w:val="24"/>
          <w:szCs w:val="24"/>
          <w:lang w:val="es-ES"/>
        </w:rPr>
        <w:t>concluimos</w:t>
      </w:r>
      <w:r w:rsidR="008B580F" w:rsidRPr="000D6D3D">
        <w:rPr>
          <w:rFonts w:ascii="Times New Roman" w:hAnsi="Times New Roman" w:cs="Times New Roman"/>
          <w:sz w:val="24"/>
          <w:szCs w:val="24"/>
          <w:lang w:val="es-ES"/>
        </w:rPr>
        <w:t xml:space="preserve"> que </w:t>
      </w:r>
      <w:r w:rsidR="00BB006E" w:rsidRPr="000D6D3D">
        <w:rPr>
          <w:rFonts w:ascii="Times New Roman" w:hAnsi="Times New Roman" w:cs="Times New Roman"/>
          <w:sz w:val="24"/>
          <w:szCs w:val="24"/>
          <w:lang w:val="es-ES"/>
        </w:rPr>
        <w:t>el desarrollo</w:t>
      </w:r>
      <w:r w:rsidR="008B580F" w:rsidRPr="000D6D3D">
        <w:rPr>
          <w:rFonts w:ascii="Times New Roman" w:hAnsi="Times New Roman" w:cs="Times New Roman"/>
          <w:sz w:val="24"/>
          <w:szCs w:val="24"/>
          <w:lang w:val="es-ES"/>
        </w:rPr>
        <w:t xml:space="preserve"> de transaminitis o trombocitopenia posterior al uso de TCZ en pacientes con COVID-19</w:t>
      </w:r>
      <w:r w:rsidR="00FB5D39" w:rsidRPr="000D6D3D">
        <w:rPr>
          <w:rFonts w:ascii="Times New Roman" w:hAnsi="Times New Roman" w:cs="Times New Roman"/>
          <w:sz w:val="24"/>
          <w:szCs w:val="24"/>
          <w:lang w:val="es-ES"/>
        </w:rPr>
        <w:t xml:space="preserve"> </w:t>
      </w:r>
      <w:r w:rsidR="00426433" w:rsidRPr="000D6D3D">
        <w:rPr>
          <w:rFonts w:ascii="Times New Roman" w:hAnsi="Times New Roman" w:cs="Times New Roman"/>
          <w:sz w:val="24"/>
          <w:szCs w:val="24"/>
          <w:lang w:val="es-ES"/>
        </w:rPr>
        <w:t xml:space="preserve">son eventos frecuentes y </w:t>
      </w:r>
      <w:r w:rsidR="00FB5D39" w:rsidRPr="000D6D3D">
        <w:rPr>
          <w:rFonts w:ascii="Times New Roman" w:hAnsi="Times New Roman" w:cs="Times New Roman"/>
          <w:sz w:val="24"/>
          <w:szCs w:val="24"/>
          <w:lang w:val="es-ES"/>
        </w:rPr>
        <w:t>de causalidad probable</w:t>
      </w:r>
      <w:r w:rsidR="008B580F" w:rsidRPr="000D6D3D">
        <w:rPr>
          <w:rFonts w:ascii="Times New Roman" w:hAnsi="Times New Roman" w:cs="Times New Roman"/>
          <w:sz w:val="24"/>
          <w:szCs w:val="24"/>
          <w:lang w:val="es-ES"/>
        </w:rPr>
        <w:t>, siendo en su mayoría RAM de carácter leve</w:t>
      </w:r>
      <w:r w:rsidR="008E1C50" w:rsidRPr="000D6D3D">
        <w:rPr>
          <w:rFonts w:ascii="Times New Roman" w:hAnsi="Times New Roman" w:cs="Times New Roman"/>
          <w:sz w:val="24"/>
          <w:szCs w:val="24"/>
          <w:lang w:val="es-ES"/>
        </w:rPr>
        <w:t xml:space="preserve"> y hasta en un 33% potencialmente prevenibles</w:t>
      </w:r>
      <w:r w:rsidR="008B580F" w:rsidRPr="000D6D3D">
        <w:rPr>
          <w:rFonts w:ascii="Times New Roman" w:hAnsi="Times New Roman" w:cs="Times New Roman"/>
          <w:sz w:val="24"/>
          <w:szCs w:val="24"/>
          <w:lang w:val="es-ES"/>
        </w:rPr>
        <w:t xml:space="preserve">. </w:t>
      </w:r>
      <w:r w:rsidR="00CF0B2C" w:rsidRPr="000D6D3D">
        <w:rPr>
          <w:rFonts w:ascii="Times New Roman" w:hAnsi="Times New Roman" w:cs="Times New Roman"/>
          <w:sz w:val="24"/>
          <w:szCs w:val="24"/>
          <w:lang w:val="es-ES"/>
        </w:rPr>
        <w:t>E</w:t>
      </w:r>
      <w:r w:rsidR="008B580F" w:rsidRPr="000D6D3D">
        <w:rPr>
          <w:rFonts w:ascii="Times New Roman" w:hAnsi="Times New Roman" w:cs="Times New Roman"/>
          <w:sz w:val="24"/>
          <w:szCs w:val="24"/>
          <w:lang w:val="es-ES"/>
        </w:rPr>
        <w:t>l desarrollo de infección es una RAM de causalidad posible y no prevenible, sin embargo la utilización de corticoides es</w:t>
      </w:r>
      <w:r w:rsidR="00FB5D39" w:rsidRPr="000D6D3D">
        <w:rPr>
          <w:rFonts w:ascii="Times New Roman" w:hAnsi="Times New Roman" w:cs="Times New Roman"/>
          <w:sz w:val="24"/>
          <w:szCs w:val="24"/>
          <w:lang w:val="es-ES"/>
        </w:rPr>
        <w:t xml:space="preserve"> un</w:t>
      </w:r>
      <w:r w:rsidR="008B580F" w:rsidRPr="000D6D3D">
        <w:rPr>
          <w:rFonts w:ascii="Times New Roman" w:hAnsi="Times New Roman" w:cs="Times New Roman"/>
          <w:sz w:val="24"/>
          <w:szCs w:val="24"/>
          <w:lang w:val="es-ES"/>
        </w:rPr>
        <w:t xml:space="preserve"> factor de riesgo asociado a infección que debería ser considerado en futuras investigaciones en pacientes COVID-19 que reciban TCZ.</w:t>
      </w:r>
      <w:r w:rsidR="008E1C50" w:rsidRPr="000D6D3D">
        <w:rPr>
          <w:rFonts w:ascii="Times New Roman" w:hAnsi="Times New Roman" w:cs="Times New Roman"/>
          <w:sz w:val="24"/>
          <w:szCs w:val="24"/>
          <w:lang w:val="es-ES"/>
        </w:rPr>
        <w:t xml:space="preserve"> </w:t>
      </w:r>
      <w:r w:rsidR="005A48AB" w:rsidRPr="000D6D3D">
        <w:rPr>
          <w:rFonts w:ascii="Times New Roman" w:hAnsi="Times New Roman" w:cs="Times New Roman"/>
          <w:color w:val="4472C4" w:themeColor="accent5"/>
          <w:sz w:val="24"/>
          <w:szCs w:val="24"/>
          <w:lang w:val="es-ES"/>
        </w:rPr>
        <w:t xml:space="preserve">Por tanto, como equipo investigador </w:t>
      </w:r>
      <w:r w:rsidR="00E5162D" w:rsidRPr="000D6D3D">
        <w:rPr>
          <w:rFonts w:ascii="Times New Roman" w:hAnsi="Times New Roman" w:cs="Times New Roman"/>
          <w:color w:val="4472C4" w:themeColor="accent5"/>
          <w:sz w:val="24"/>
          <w:szCs w:val="24"/>
          <w:lang w:val="es-ES"/>
        </w:rPr>
        <w:t xml:space="preserve">consideramos que TCZ es una alternativa segura en pacientes COVID-19, pero requiere previo a su administración, la monitorización de </w:t>
      </w:r>
      <w:r w:rsidR="008B580F" w:rsidRPr="000D6D3D">
        <w:rPr>
          <w:rFonts w:ascii="Times New Roman" w:hAnsi="Times New Roman" w:cs="Times New Roman"/>
          <w:color w:val="4472C4" w:themeColor="accent5"/>
          <w:sz w:val="24"/>
          <w:szCs w:val="24"/>
          <w:lang w:val="es-ES"/>
        </w:rPr>
        <w:t xml:space="preserve">hemograma, pruebas hepáticas y </w:t>
      </w:r>
      <w:r w:rsidR="005A48AB" w:rsidRPr="000D6D3D">
        <w:rPr>
          <w:rFonts w:ascii="Times New Roman" w:hAnsi="Times New Roman" w:cs="Times New Roman"/>
          <w:color w:val="4472C4" w:themeColor="accent5"/>
          <w:sz w:val="24"/>
          <w:szCs w:val="24"/>
          <w:lang w:val="es-ES"/>
        </w:rPr>
        <w:t>descartar</w:t>
      </w:r>
      <w:r w:rsidR="008B580F" w:rsidRPr="000D6D3D">
        <w:rPr>
          <w:rFonts w:ascii="Times New Roman" w:hAnsi="Times New Roman" w:cs="Times New Roman"/>
          <w:color w:val="4472C4" w:themeColor="accent5"/>
          <w:sz w:val="24"/>
          <w:szCs w:val="24"/>
          <w:lang w:val="es-ES"/>
        </w:rPr>
        <w:t xml:space="preserve"> una</w:t>
      </w:r>
      <w:r w:rsidR="008B580F" w:rsidRPr="000D6D3D">
        <w:rPr>
          <w:rFonts w:ascii="Times New Roman" w:hAnsi="Times New Roman" w:cs="Times New Roman"/>
          <w:color w:val="4472C4" w:themeColor="accent5"/>
          <w:sz w:val="24"/>
          <w:szCs w:val="24"/>
        </w:rPr>
        <w:t xml:space="preserve"> infección bacteriana o fúngica.</w:t>
      </w:r>
      <w:r w:rsidR="00554030" w:rsidRPr="000D6D3D">
        <w:rPr>
          <w:rFonts w:ascii="Times New Roman" w:hAnsi="Times New Roman" w:cs="Times New Roman"/>
          <w:color w:val="4472C4" w:themeColor="accent5"/>
          <w:sz w:val="24"/>
          <w:szCs w:val="24"/>
        </w:rPr>
        <w:t xml:space="preserve"> </w:t>
      </w:r>
      <w:r w:rsidR="005A48AB" w:rsidRPr="000D6D3D">
        <w:rPr>
          <w:rFonts w:ascii="Times New Roman" w:hAnsi="Times New Roman" w:cs="Times New Roman"/>
          <w:color w:val="4472C4" w:themeColor="accent5"/>
          <w:sz w:val="24"/>
          <w:szCs w:val="24"/>
        </w:rPr>
        <w:t>Además recomendamos evaluar signos de complicaciones gastrointestinales como pancreatitis o perforación</w:t>
      </w:r>
      <w:r w:rsidR="001208B9" w:rsidRPr="000D6D3D">
        <w:rPr>
          <w:rFonts w:ascii="Times New Roman" w:hAnsi="Times New Roman" w:cs="Times New Roman"/>
          <w:color w:val="4472C4" w:themeColor="accent5"/>
          <w:sz w:val="24"/>
          <w:szCs w:val="24"/>
        </w:rPr>
        <w:t xml:space="preserve"> intestinal</w:t>
      </w:r>
      <w:r w:rsidR="005A48AB" w:rsidRPr="000D6D3D">
        <w:rPr>
          <w:rFonts w:ascii="Times New Roman" w:hAnsi="Times New Roman" w:cs="Times New Roman"/>
          <w:color w:val="4472C4" w:themeColor="accent5"/>
          <w:sz w:val="24"/>
          <w:szCs w:val="24"/>
        </w:rPr>
        <w:t xml:space="preserve">, que pese a ser eventos </w:t>
      </w:r>
      <w:r w:rsidR="001C1EB6" w:rsidRPr="000D6D3D">
        <w:rPr>
          <w:rFonts w:ascii="Times New Roman" w:hAnsi="Times New Roman" w:cs="Times New Roman"/>
          <w:color w:val="4472C4" w:themeColor="accent5"/>
          <w:sz w:val="24"/>
          <w:szCs w:val="24"/>
        </w:rPr>
        <w:t>de</w:t>
      </w:r>
      <w:r w:rsidR="005A48AB" w:rsidRPr="000D6D3D">
        <w:rPr>
          <w:rFonts w:ascii="Times New Roman" w:hAnsi="Times New Roman" w:cs="Times New Roman"/>
          <w:color w:val="4472C4" w:themeColor="accent5"/>
          <w:sz w:val="24"/>
          <w:szCs w:val="24"/>
        </w:rPr>
        <w:t xml:space="preserve"> baja frecuencia</w:t>
      </w:r>
      <w:r w:rsidR="00315C22" w:rsidRPr="000D6D3D">
        <w:rPr>
          <w:rFonts w:ascii="Times New Roman" w:hAnsi="Times New Roman" w:cs="Times New Roman"/>
          <w:color w:val="4472C4" w:themeColor="accent5"/>
          <w:sz w:val="24"/>
          <w:szCs w:val="24"/>
        </w:rPr>
        <w:t>,</w:t>
      </w:r>
      <w:r w:rsidR="005A48AB" w:rsidRPr="000D6D3D">
        <w:rPr>
          <w:rFonts w:ascii="Times New Roman" w:hAnsi="Times New Roman" w:cs="Times New Roman"/>
          <w:color w:val="4472C4" w:themeColor="accent5"/>
          <w:sz w:val="24"/>
          <w:szCs w:val="24"/>
        </w:rPr>
        <w:t xml:space="preserve"> </w:t>
      </w:r>
      <w:r w:rsidR="00315C22" w:rsidRPr="000D6D3D">
        <w:rPr>
          <w:rFonts w:ascii="Times New Roman" w:hAnsi="Times New Roman" w:cs="Times New Roman"/>
          <w:color w:val="4472C4" w:themeColor="accent5"/>
          <w:sz w:val="24"/>
          <w:szCs w:val="24"/>
        </w:rPr>
        <w:t xml:space="preserve">se asocian a </w:t>
      </w:r>
      <w:r w:rsidR="005A48AB" w:rsidRPr="000D6D3D">
        <w:rPr>
          <w:rFonts w:ascii="Times New Roman" w:hAnsi="Times New Roman" w:cs="Times New Roman"/>
          <w:color w:val="4472C4" w:themeColor="accent5"/>
          <w:sz w:val="24"/>
          <w:szCs w:val="24"/>
        </w:rPr>
        <w:t>graves</w:t>
      </w:r>
      <w:r w:rsidR="00315C22" w:rsidRPr="000D6D3D">
        <w:rPr>
          <w:rFonts w:ascii="Times New Roman" w:hAnsi="Times New Roman" w:cs="Times New Roman"/>
          <w:color w:val="4472C4" w:themeColor="accent5"/>
          <w:sz w:val="24"/>
          <w:szCs w:val="24"/>
        </w:rPr>
        <w:t xml:space="preserve"> desenlaces</w:t>
      </w:r>
      <w:r w:rsidR="005A48AB" w:rsidRPr="000D6D3D">
        <w:rPr>
          <w:rFonts w:ascii="Times New Roman" w:hAnsi="Times New Roman" w:cs="Times New Roman"/>
          <w:color w:val="4472C4" w:themeColor="accent5"/>
          <w:sz w:val="24"/>
          <w:szCs w:val="24"/>
        </w:rPr>
        <w:t>.</w:t>
      </w:r>
    </w:p>
    <w:p w:rsidR="00E5162D" w:rsidRPr="000D6D3D" w:rsidRDefault="00E5162D" w:rsidP="00CF0B2C">
      <w:pPr>
        <w:spacing w:after="0" w:line="360" w:lineRule="auto"/>
        <w:jc w:val="both"/>
        <w:rPr>
          <w:color w:val="4472C4" w:themeColor="accent5"/>
        </w:rPr>
      </w:pPr>
    </w:p>
    <w:p w:rsidR="006B025B" w:rsidRPr="000D6D3D" w:rsidRDefault="006B025B" w:rsidP="00CF0B2C">
      <w:pPr>
        <w:spacing w:after="0" w:line="360" w:lineRule="auto"/>
        <w:jc w:val="both"/>
        <w:rPr>
          <w:rFonts w:ascii="Times New Roman" w:hAnsi="Times New Roman" w:cs="Times New Roman"/>
          <w:sz w:val="24"/>
          <w:szCs w:val="24"/>
        </w:rPr>
      </w:pPr>
      <w:r w:rsidRPr="000D6D3D">
        <w:rPr>
          <w:rFonts w:ascii="Times New Roman" w:hAnsi="Times New Roman" w:cs="Times New Roman"/>
          <w:sz w:val="24"/>
          <w:szCs w:val="24"/>
          <w:lang w:val="es-ES"/>
        </w:rPr>
        <w:t xml:space="preserve">En el actual y complejo escenario sanitario, de recursos limitados en nuestro país, esta investigación pretende aportar con más información respecto al perfil de seguridad de un fármaco que ha mostrado resultados positivos en los casos más graves. </w:t>
      </w:r>
    </w:p>
    <w:p w:rsidR="008B580F" w:rsidRPr="000D6D3D" w:rsidRDefault="008B580F" w:rsidP="00CF0B2C">
      <w:pPr>
        <w:spacing w:after="0" w:line="360" w:lineRule="auto"/>
        <w:jc w:val="both"/>
        <w:rPr>
          <w:rFonts w:ascii="Times New Roman" w:hAnsi="Times New Roman" w:cs="Times New Roman"/>
          <w:sz w:val="24"/>
          <w:szCs w:val="24"/>
          <w:lang w:val="es-ES"/>
        </w:rPr>
      </w:pPr>
    </w:p>
    <w:p w:rsidR="008B580F" w:rsidRPr="000D6D3D" w:rsidRDefault="008B580F" w:rsidP="00CF0B2C">
      <w:pPr>
        <w:spacing w:after="0" w:line="360" w:lineRule="auto"/>
        <w:jc w:val="both"/>
        <w:rPr>
          <w:rFonts w:ascii="Times New Roman" w:hAnsi="Times New Roman" w:cs="Times New Roman"/>
          <w:sz w:val="24"/>
          <w:szCs w:val="24"/>
          <w:lang w:val="es-ES"/>
        </w:rPr>
      </w:pPr>
      <w:r w:rsidRPr="000D6D3D">
        <w:rPr>
          <w:rFonts w:ascii="Times New Roman" w:hAnsi="Times New Roman" w:cs="Times New Roman"/>
          <w:sz w:val="24"/>
          <w:szCs w:val="24"/>
          <w:lang w:val="es-ES"/>
        </w:rPr>
        <w:t>Esta investigación no contó con apoyo financiero de privados o estatales para su realización.</w:t>
      </w:r>
    </w:p>
    <w:p w:rsidR="006B025B" w:rsidRPr="000D6D3D" w:rsidRDefault="006B025B" w:rsidP="00E225AE">
      <w:pPr>
        <w:spacing w:after="0" w:line="360" w:lineRule="auto"/>
        <w:rPr>
          <w:rFonts w:ascii="Times New Roman" w:hAnsi="Times New Roman" w:cs="Times New Roman"/>
          <w:b/>
          <w:sz w:val="24"/>
          <w:szCs w:val="24"/>
        </w:rPr>
      </w:pPr>
    </w:p>
    <w:p w:rsidR="00E225AE" w:rsidRPr="000D6D3D" w:rsidRDefault="00E225AE" w:rsidP="00E225AE">
      <w:pPr>
        <w:spacing w:after="0" w:line="360" w:lineRule="auto"/>
        <w:rPr>
          <w:rFonts w:ascii="Times New Roman" w:hAnsi="Times New Roman" w:cs="Times New Roman"/>
          <w:b/>
          <w:sz w:val="24"/>
          <w:szCs w:val="24"/>
          <w:lang w:val="en-US"/>
        </w:rPr>
      </w:pPr>
      <w:proofErr w:type="spellStart"/>
      <w:r w:rsidRPr="000D6D3D">
        <w:rPr>
          <w:rFonts w:ascii="Times New Roman" w:hAnsi="Times New Roman" w:cs="Times New Roman"/>
          <w:b/>
          <w:sz w:val="24"/>
          <w:szCs w:val="24"/>
          <w:lang w:val="en-US"/>
        </w:rPr>
        <w:lastRenderedPageBreak/>
        <w:t>Referencias</w:t>
      </w:r>
      <w:proofErr w:type="spellEnd"/>
    </w:p>
    <w:p w:rsidR="00E225AE" w:rsidRPr="000D6D3D" w:rsidRDefault="00E225AE" w:rsidP="00E225AE">
      <w:pPr>
        <w:spacing w:after="0" w:line="360" w:lineRule="auto"/>
        <w:rPr>
          <w:rFonts w:ascii="Times New Roman" w:hAnsi="Times New Roman" w:cs="Times New Roman"/>
          <w:b/>
          <w:sz w:val="24"/>
          <w:szCs w:val="24"/>
          <w:lang w:val="en-US"/>
        </w:rPr>
      </w:pPr>
    </w:p>
    <w:p w:rsidR="00BE40B3" w:rsidRPr="000D6D3D" w:rsidRDefault="00BE40B3" w:rsidP="00BE40B3">
      <w:pPr>
        <w:pStyle w:val="Default"/>
        <w:spacing w:line="360" w:lineRule="auto"/>
        <w:rPr>
          <w:rFonts w:ascii="Times New Roman" w:hAnsi="Times New Roman" w:cs="Times New Roman"/>
          <w:color w:val="auto"/>
          <w:lang w:val="es-ES"/>
        </w:rPr>
      </w:pPr>
      <w:r w:rsidRPr="000D6D3D">
        <w:rPr>
          <w:rFonts w:ascii="Times New Roman" w:hAnsi="Times New Roman" w:cs="Times New Roman"/>
          <w:color w:val="auto"/>
          <w:lang w:val="en-US"/>
        </w:rPr>
        <w:t xml:space="preserve">[1] World Health Organization. Disease Outbreak News. </w:t>
      </w:r>
      <w:proofErr w:type="gramStart"/>
      <w:r w:rsidRPr="000D6D3D">
        <w:rPr>
          <w:rFonts w:ascii="Times New Roman" w:hAnsi="Times New Roman" w:cs="Times New Roman"/>
          <w:color w:val="auto"/>
          <w:lang w:val="en-US"/>
        </w:rPr>
        <w:t xml:space="preserve">5 de </w:t>
      </w:r>
      <w:proofErr w:type="spellStart"/>
      <w:r w:rsidRPr="000D6D3D">
        <w:rPr>
          <w:rFonts w:ascii="Times New Roman" w:hAnsi="Times New Roman" w:cs="Times New Roman"/>
          <w:color w:val="auto"/>
          <w:lang w:val="en-US"/>
        </w:rPr>
        <w:t>Enero</w:t>
      </w:r>
      <w:proofErr w:type="spellEnd"/>
      <w:r w:rsidRPr="000D6D3D">
        <w:rPr>
          <w:rFonts w:ascii="Times New Roman" w:hAnsi="Times New Roman" w:cs="Times New Roman"/>
          <w:color w:val="auto"/>
          <w:lang w:val="en-US"/>
        </w:rPr>
        <w:t xml:space="preserve"> de 2020.</w:t>
      </w:r>
      <w:proofErr w:type="gramEnd"/>
      <w:r w:rsidRPr="000D6D3D">
        <w:rPr>
          <w:rFonts w:ascii="Times New Roman" w:hAnsi="Times New Roman" w:cs="Times New Roman"/>
          <w:color w:val="auto"/>
          <w:lang w:val="en-US"/>
        </w:rPr>
        <w:t xml:space="preserve"> </w:t>
      </w:r>
      <w:proofErr w:type="spellStart"/>
      <w:r w:rsidRPr="000D6D3D">
        <w:rPr>
          <w:rFonts w:ascii="Times New Roman" w:hAnsi="Times New Roman" w:cs="Times New Roman"/>
          <w:color w:val="auto"/>
        </w:rPr>
        <w:t>Pneumonia</w:t>
      </w:r>
      <w:proofErr w:type="spellEnd"/>
      <w:r w:rsidRPr="000D6D3D">
        <w:rPr>
          <w:rFonts w:ascii="Times New Roman" w:hAnsi="Times New Roman" w:cs="Times New Roman"/>
          <w:color w:val="auto"/>
        </w:rPr>
        <w:t xml:space="preserve"> of </w:t>
      </w:r>
      <w:proofErr w:type="spellStart"/>
      <w:r w:rsidRPr="000D6D3D">
        <w:rPr>
          <w:rFonts w:ascii="Times New Roman" w:hAnsi="Times New Roman" w:cs="Times New Roman"/>
          <w:color w:val="auto"/>
        </w:rPr>
        <w:t>unknown</w:t>
      </w:r>
      <w:proofErr w:type="spellEnd"/>
      <w:r w:rsidRPr="000D6D3D">
        <w:rPr>
          <w:rFonts w:ascii="Times New Roman" w:hAnsi="Times New Roman" w:cs="Times New Roman"/>
          <w:color w:val="auto"/>
        </w:rPr>
        <w:t xml:space="preserve"> cause - China. Disponible en: </w:t>
      </w:r>
      <w:hyperlink r:id="rId7" w:history="1">
        <w:r w:rsidRPr="000D6D3D">
          <w:rPr>
            <w:rStyle w:val="Hipervnculo"/>
            <w:rFonts w:ascii="Times New Roman" w:hAnsi="Times New Roman" w:cs="Times New Roman"/>
            <w:color w:val="auto"/>
          </w:rPr>
          <w:t>https://www.who.int/csr/don/0</w:t>
        </w:r>
        <w:r w:rsidRPr="000D6D3D">
          <w:rPr>
            <w:rStyle w:val="Hipervnculo"/>
            <w:rFonts w:ascii="Times New Roman" w:hAnsi="Times New Roman" w:cs="Times New Roman"/>
            <w:color w:val="auto"/>
            <w:lang w:val="es-ES"/>
          </w:rPr>
          <w:t>5-january-2020-pneumonia-of-unkown-cause-china/en/</w:t>
        </w:r>
      </w:hyperlink>
      <w:r w:rsidRPr="000D6D3D">
        <w:rPr>
          <w:rStyle w:val="Hipervnculo"/>
          <w:rFonts w:ascii="Times New Roman" w:hAnsi="Times New Roman" w:cs="Times New Roman"/>
          <w:color w:val="auto"/>
          <w:u w:val="none"/>
          <w:lang w:val="es-ES"/>
        </w:rPr>
        <w:t xml:space="preserve"> </w:t>
      </w:r>
      <w:r w:rsidRPr="000D6D3D">
        <w:rPr>
          <w:rFonts w:ascii="Times New Roman" w:hAnsi="Times New Roman" w:cs="Times New Roman"/>
          <w:color w:val="auto"/>
        </w:rPr>
        <w:t>[Consultado el 05 de Julio de 2020].</w:t>
      </w:r>
    </w:p>
    <w:p w:rsidR="00BE40B3" w:rsidRPr="000D6D3D" w:rsidRDefault="00BE40B3" w:rsidP="00BE40B3">
      <w:pPr>
        <w:pStyle w:val="Default"/>
        <w:spacing w:line="360" w:lineRule="auto"/>
        <w:rPr>
          <w:rFonts w:ascii="Times New Roman" w:hAnsi="Times New Roman" w:cs="Times New Roman"/>
          <w:color w:val="auto"/>
          <w:lang w:val="es-E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[2] </w:t>
      </w:r>
      <w:r w:rsidRPr="000D6D3D">
        <w:rPr>
          <w:rFonts w:ascii="Times New Roman" w:hAnsi="Times New Roman" w:cs="Times New Roman"/>
          <w:color w:val="auto"/>
          <w:shd w:val="clear" w:color="auto" w:fill="FFFFFF"/>
          <w:lang w:val="en-US"/>
        </w:rPr>
        <w:t>Cheng Z, Shan J. 2019 Novel coronavirus: where we are and what we know. </w:t>
      </w:r>
      <w:r w:rsidRPr="000D6D3D">
        <w:rPr>
          <w:rFonts w:ascii="Times New Roman" w:hAnsi="Times New Roman" w:cs="Times New Roman"/>
          <w:iCs/>
          <w:color w:val="auto"/>
          <w:shd w:val="clear" w:color="auto" w:fill="FFFFFF"/>
          <w:lang w:val="en-US"/>
        </w:rPr>
        <w:t>Infection 2020;</w:t>
      </w:r>
      <w:r w:rsidRPr="000D6D3D">
        <w:rPr>
          <w:rFonts w:ascii="Times New Roman" w:hAnsi="Times New Roman" w:cs="Times New Roman"/>
          <w:color w:val="auto"/>
          <w:shd w:val="clear" w:color="auto" w:fill="FFFFFF"/>
          <w:lang w:val="en-US"/>
        </w:rPr>
        <w:t> </w:t>
      </w:r>
      <w:r w:rsidRPr="000D6D3D">
        <w:rPr>
          <w:rFonts w:ascii="Times New Roman" w:hAnsi="Times New Roman" w:cs="Times New Roman"/>
          <w:iCs/>
          <w:color w:val="auto"/>
          <w:shd w:val="clear" w:color="auto" w:fill="FFFFFF"/>
          <w:lang w:val="en-US"/>
        </w:rPr>
        <w:t>48</w:t>
      </w:r>
      <w:r w:rsidRPr="000D6D3D">
        <w:rPr>
          <w:rFonts w:ascii="Times New Roman" w:hAnsi="Times New Roman" w:cs="Times New Roman"/>
          <w:color w:val="auto"/>
          <w:shd w:val="clear" w:color="auto" w:fill="FFFFFF"/>
          <w:lang w:val="en-US"/>
        </w:rPr>
        <w:t xml:space="preserve">(2): 155–163. </w:t>
      </w:r>
      <w:r w:rsidRPr="000D6D3D">
        <w:rPr>
          <w:rFonts w:ascii="Times New Roman" w:hAnsi="Times New Roman" w:cs="Times New Roman"/>
          <w:color w:val="auto"/>
          <w:lang w:val="en-US"/>
        </w:rPr>
        <w:br/>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lang w:val="en-US"/>
        </w:rPr>
        <w:t xml:space="preserve">[3] </w:t>
      </w:r>
      <w:proofErr w:type="spellStart"/>
      <w:r w:rsidRPr="000D6D3D">
        <w:rPr>
          <w:rFonts w:ascii="Times New Roman" w:hAnsi="Times New Roman" w:cs="Times New Roman"/>
          <w:color w:val="auto"/>
          <w:shd w:val="clear" w:color="auto" w:fill="FFFFFF"/>
          <w:lang w:val="en-US"/>
        </w:rPr>
        <w:t>Siddiqi</w:t>
      </w:r>
      <w:proofErr w:type="spellEnd"/>
      <w:r w:rsidRPr="000D6D3D">
        <w:rPr>
          <w:rFonts w:ascii="Times New Roman" w:hAnsi="Times New Roman" w:cs="Times New Roman"/>
          <w:color w:val="auto"/>
          <w:shd w:val="clear" w:color="auto" w:fill="FFFFFF"/>
          <w:lang w:val="en-US"/>
        </w:rPr>
        <w:t xml:space="preserve"> H, </w:t>
      </w:r>
      <w:proofErr w:type="spellStart"/>
      <w:r w:rsidRPr="000D6D3D">
        <w:rPr>
          <w:rFonts w:ascii="Times New Roman" w:hAnsi="Times New Roman" w:cs="Times New Roman"/>
          <w:color w:val="auto"/>
          <w:shd w:val="clear" w:color="auto" w:fill="FFFFFF"/>
          <w:lang w:val="en-US"/>
        </w:rPr>
        <w:t>Mehra</w:t>
      </w:r>
      <w:proofErr w:type="spellEnd"/>
      <w:r w:rsidRPr="000D6D3D">
        <w:rPr>
          <w:rFonts w:ascii="Times New Roman" w:hAnsi="Times New Roman" w:cs="Times New Roman"/>
          <w:color w:val="auto"/>
          <w:shd w:val="clear" w:color="auto" w:fill="FFFFFF"/>
          <w:lang w:val="en-US"/>
        </w:rPr>
        <w:t xml:space="preserve"> M. COVID-19 illness in native and immunosuppressed states: A clinical-therapeutic staging proposal. </w:t>
      </w:r>
      <w:r w:rsidRPr="000D6D3D">
        <w:rPr>
          <w:rFonts w:ascii="Times New Roman" w:hAnsi="Times New Roman" w:cs="Times New Roman"/>
          <w:iCs/>
          <w:color w:val="auto"/>
          <w:shd w:val="clear" w:color="auto" w:fill="FFFFFF"/>
          <w:lang w:val="en-US"/>
        </w:rPr>
        <w:t>J heart lung transplant 2020;</w:t>
      </w:r>
      <w:r w:rsidRPr="000D6D3D">
        <w:rPr>
          <w:rFonts w:ascii="Times New Roman" w:hAnsi="Times New Roman" w:cs="Times New Roman"/>
          <w:color w:val="auto"/>
          <w:shd w:val="clear" w:color="auto" w:fill="FFFFFF"/>
          <w:lang w:val="en-US"/>
        </w:rPr>
        <w:t> </w:t>
      </w:r>
      <w:r w:rsidRPr="000D6D3D">
        <w:rPr>
          <w:rFonts w:ascii="Times New Roman" w:hAnsi="Times New Roman" w:cs="Times New Roman"/>
          <w:iCs/>
          <w:color w:val="auto"/>
          <w:shd w:val="clear" w:color="auto" w:fill="FFFFFF"/>
          <w:lang w:val="en-US"/>
        </w:rPr>
        <w:t>39</w:t>
      </w:r>
      <w:r w:rsidRPr="000D6D3D">
        <w:rPr>
          <w:rFonts w:ascii="Times New Roman" w:hAnsi="Times New Roman" w:cs="Times New Roman"/>
          <w:color w:val="auto"/>
          <w:shd w:val="clear" w:color="auto" w:fill="FFFFFF"/>
          <w:lang w:val="en-US"/>
        </w:rPr>
        <w:t>(5): 405–407.</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[4] Rosas I, </w:t>
      </w:r>
      <w:proofErr w:type="spellStart"/>
      <w:r w:rsidRPr="000D6D3D">
        <w:rPr>
          <w:rFonts w:ascii="Times New Roman" w:hAnsi="Times New Roman" w:cs="Times New Roman"/>
          <w:color w:val="auto"/>
          <w:lang w:val="en-US"/>
        </w:rPr>
        <w:t>Bräu</w:t>
      </w:r>
      <w:proofErr w:type="spellEnd"/>
      <w:r w:rsidRPr="000D6D3D">
        <w:rPr>
          <w:rFonts w:ascii="Times New Roman" w:hAnsi="Times New Roman" w:cs="Times New Roman"/>
          <w:color w:val="auto"/>
          <w:lang w:val="en-US"/>
        </w:rPr>
        <w:t xml:space="preserve"> N, Waters M, Go R, Hunter B, </w:t>
      </w:r>
      <w:proofErr w:type="spellStart"/>
      <w:r w:rsidRPr="000D6D3D">
        <w:rPr>
          <w:rFonts w:ascii="Times New Roman" w:hAnsi="Times New Roman" w:cs="Times New Roman"/>
          <w:color w:val="auto"/>
          <w:lang w:val="en-US"/>
        </w:rPr>
        <w:t>Bhagani</w:t>
      </w:r>
      <w:proofErr w:type="spellEnd"/>
      <w:r w:rsidRPr="000D6D3D">
        <w:rPr>
          <w:rFonts w:ascii="Times New Roman" w:hAnsi="Times New Roman" w:cs="Times New Roman"/>
          <w:color w:val="auto"/>
          <w:lang w:val="en-US"/>
        </w:rPr>
        <w:t xml:space="preserve"> S, et al. Tocilizumab in Hospitalized Patients with Severe Covid-19 Pneumonia.  N </w:t>
      </w:r>
      <w:proofErr w:type="spellStart"/>
      <w:r w:rsidRPr="000D6D3D">
        <w:rPr>
          <w:rFonts w:ascii="Times New Roman" w:hAnsi="Times New Roman" w:cs="Times New Roman"/>
          <w:color w:val="auto"/>
          <w:lang w:val="en-US"/>
        </w:rPr>
        <w:t>Engl</w:t>
      </w:r>
      <w:proofErr w:type="spellEnd"/>
      <w:r w:rsidRPr="000D6D3D">
        <w:rPr>
          <w:rFonts w:ascii="Times New Roman" w:hAnsi="Times New Roman" w:cs="Times New Roman"/>
          <w:color w:val="auto"/>
          <w:lang w:val="en-US"/>
        </w:rPr>
        <w:t xml:space="preserve"> J Med 2021; 384: 1503-1516.</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rPr>
        <w:t xml:space="preserve">[5] </w:t>
      </w:r>
      <w:proofErr w:type="spellStart"/>
      <w:r w:rsidRPr="000D6D3D">
        <w:rPr>
          <w:rFonts w:ascii="Times New Roman" w:hAnsi="Times New Roman" w:cs="Times New Roman"/>
          <w:color w:val="auto"/>
        </w:rPr>
        <w:t>Salama</w:t>
      </w:r>
      <w:proofErr w:type="spellEnd"/>
      <w:r w:rsidRPr="000D6D3D">
        <w:rPr>
          <w:rFonts w:ascii="Times New Roman" w:hAnsi="Times New Roman" w:cs="Times New Roman"/>
          <w:color w:val="auto"/>
        </w:rPr>
        <w:t xml:space="preserve"> C, Han J, </w:t>
      </w:r>
      <w:proofErr w:type="spellStart"/>
      <w:r w:rsidRPr="000D6D3D">
        <w:rPr>
          <w:rFonts w:ascii="Times New Roman" w:hAnsi="Times New Roman" w:cs="Times New Roman"/>
          <w:color w:val="auto"/>
        </w:rPr>
        <w:t>Yau</w:t>
      </w:r>
      <w:proofErr w:type="spellEnd"/>
      <w:r w:rsidRPr="000D6D3D">
        <w:rPr>
          <w:rFonts w:ascii="Times New Roman" w:hAnsi="Times New Roman" w:cs="Times New Roman"/>
          <w:color w:val="auto"/>
        </w:rPr>
        <w:t xml:space="preserve"> L, </w:t>
      </w:r>
      <w:proofErr w:type="spellStart"/>
      <w:r w:rsidRPr="000D6D3D">
        <w:rPr>
          <w:rFonts w:ascii="Times New Roman" w:hAnsi="Times New Roman" w:cs="Times New Roman"/>
          <w:color w:val="auto"/>
        </w:rPr>
        <w:t>Reiss</w:t>
      </w:r>
      <w:proofErr w:type="spellEnd"/>
      <w:r w:rsidRPr="000D6D3D">
        <w:rPr>
          <w:rFonts w:ascii="Times New Roman" w:hAnsi="Times New Roman" w:cs="Times New Roman"/>
          <w:color w:val="auto"/>
        </w:rPr>
        <w:t xml:space="preserve"> W, </w:t>
      </w:r>
      <w:proofErr w:type="spellStart"/>
      <w:r w:rsidRPr="000D6D3D">
        <w:rPr>
          <w:rFonts w:ascii="Times New Roman" w:hAnsi="Times New Roman" w:cs="Times New Roman"/>
          <w:color w:val="auto"/>
        </w:rPr>
        <w:t>Kramer</w:t>
      </w:r>
      <w:proofErr w:type="spellEnd"/>
      <w:r w:rsidRPr="000D6D3D">
        <w:rPr>
          <w:rFonts w:ascii="Times New Roman" w:hAnsi="Times New Roman" w:cs="Times New Roman"/>
          <w:color w:val="auto"/>
        </w:rPr>
        <w:t xml:space="preserve"> B, </w:t>
      </w:r>
      <w:proofErr w:type="spellStart"/>
      <w:r w:rsidRPr="000D6D3D">
        <w:rPr>
          <w:rFonts w:ascii="Times New Roman" w:hAnsi="Times New Roman" w:cs="Times New Roman"/>
          <w:color w:val="auto"/>
        </w:rPr>
        <w:t>Neidhart</w:t>
      </w:r>
      <w:proofErr w:type="spellEnd"/>
      <w:r w:rsidRPr="000D6D3D">
        <w:rPr>
          <w:rFonts w:ascii="Times New Roman" w:hAnsi="Times New Roman" w:cs="Times New Roman"/>
          <w:color w:val="auto"/>
        </w:rPr>
        <w:t xml:space="preserve"> J, et al. </w:t>
      </w:r>
      <w:r w:rsidRPr="000D6D3D">
        <w:rPr>
          <w:rFonts w:ascii="Times New Roman" w:hAnsi="Times New Roman" w:cs="Times New Roman"/>
          <w:color w:val="auto"/>
          <w:lang w:val="en-US"/>
        </w:rPr>
        <w:t xml:space="preserve">Tocilizumab in Patients Hospitalized with Covid-19 Pneumonia. N </w:t>
      </w:r>
      <w:proofErr w:type="spellStart"/>
      <w:r w:rsidRPr="000D6D3D">
        <w:rPr>
          <w:rFonts w:ascii="Times New Roman" w:hAnsi="Times New Roman" w:cs="Times New Roman"/>
          <w:color w:val="auto"/>
          <w:lang w:val="en-US"/>
        </w:rPr>
        <w:t>Engl</w:t>
      </w:r>
      <w:proofErr w:type="spellEnd"/>
      <w:r w:rsidRPr="000D6D3D">
        <w:rPr>
          <w:rFonts w:ascii="Times New Roman" w:hAnsi="Times New Roman" w:cs="Times New Roman"/>
          <w:color w:val="auto"/>
          <w:lang w:val="en-US"/>
        </w:rPr>
        <w:t xml:space="preserve"> J Med 2021, 384(1): 20–30.</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shd w:val="clear" w:color="auto" w:fill="FFFFFF"/>
          <w:lang w:val="en-US"/>
        </w:rPr>
        <w:t xml:space="preserve">[6] </w:t>
      </w:r>
      <w:proofErr w:type="spellStart"/>
      <w:r w:rsidRPr="000D6D3D">
        <w:rPr>
          <w:rFonts w:ascii="Times New Roman" w:hAnsi="Times New Roman" w:cs="Times New Roman"/>
          <w:color w:val="auto"/>
          <w:shd w:val="clear" w:color="auto" w:fill="FFFFFF"/>
          <w:lang w:val="en-US"/>
        </w:rPr>
        <w:t>Horby</w:t>
      </w:r>
      <w:proofErr w:type="spellEnd"/>
      <w:r w:rsidRPr="000D6D3D">
        <w:rPr>
          <w:rFonts w:ascii="Times New Roman" w:hAnsi="Times New Roman" w:cs="Times New Roman"/>
          <w:color w:val="auto"/>
          <w:shd w:val="clear" w:color="auto" w:fill="FFFFFF"/>
          <w:lang w:val="en-US"/>
        </w:rPr>
        <w:t xml:space="preserve"> P, Lim W, </w:t>
      </w:r>
      <w:proofErr w:type="spellStart"/>
      <w:r w:rsidRPr="000D6D3D">
        <w:rPr>
          <w:rFonts w:ascii="Times New Roman" w:hAnsi="Times New Roman" w:cs="Times New Roman"/>
          <w:color w:val="auto"/>
          <w:shd w:val="clear" w:color="auto" w:fill="FFFFFF"/>
          <w:lang w:val="en-US"/>
        </w:rPr>
        <w:t>Emberson</w:t>
      </w:r>
      <w:proofErr w:type="spellEnd"/>
      <w:r w:rsidRPr="000D6D3D">
        <w:rPr>
          <w:rFonts w:ascii="Times New Roman" w:hAnsi="Times New Roman" w:cs="Times New Roman"/>
          <w:color w:val="auto"/>
          <w:shd w:val="clear" w:color="auto" w:fill="FFFFFF"/>
          <w:lang w:val="en-US"/>
        </w:rPr>
        <w:t xml:space="preserve"> J, </w:t>
      </w:r>
      <w:proofErr w:type="spellStart"/>
      <w:r w:rsidRPr="000D6D3D">
        <w:rPr>
          <w:rFonts w:ascii="Times New Roman" w:hAnsi="Times New Roman" w:cs="Times New Roman"/>
          <w:color w:val="auto"/>
          <w:shd w:val="clear" w:color="auto" w:fill="FFFFFF"/>
          <w:lang w:val="en-US"/>
        </w:rPr>
        <w:t>Mafham</w:t>
      </w:r>
      <w:proofErr w:type="spellEnd"/>
      <w:r w:rsidRPr="000D6D3D">
        <w:rPr>
          <w:rFonts w:ascii="Times New Roman" w:hAnsi="Times New Roman" w:cs="Times New Roman"/>
          <w:color w:val="auto"/>
          <w:shd w:val="clear" w:color="auto" w:fill="FFFFFF"/>
          <w:lang w:val="en-US"/>
        </w:rPr>
        <w:t xml:space="preserve"> M, Bell J, </w:t>
      </w:r>
      <w:proofErr w:type="spellStart"/>
      <w:r w:rsidRPr="000D6D3D">
        <w:rPr>
          <w:rFonts w:ascii="Times New Roman" w:hAnsi="Times New Roman" w:cs="Times New Roman"/>
          <w:color w:val="auto"/>
          <w:shd w:val="clear" w:color="auto" w:fill="FFFFFF"/>
          <w:lang w:val="en-US"/>
        </w:rPr>
        <w:t>Linsell</w:t>
      </w:r>
      <w:proofErr w:type="spellEnd"/>
      <w:r w:rsidRPr="000D6D3D">
        <w:rPr>
          <w:rFonts w:ascii="Times New Roman" w:hAnsi="Times New Roman" w:cs="Times New Roman"/>
          <w:color w:val="auto"/>
          <w:shd w:val="clear" w:color="auto" w:fill="FFFFFF"/>
          <w:lang w:val="en-US"/>
        </w:rPr>
        <w:t xml:space="preserve"> L. et al. Dexamethasone in Hospitalized Patients with Covid-19. N </w:t>
      </w:r>
      <w:proofErr w:type="spellStart"/>
      <w:r w:rsidRPr="000D6D3D">
        <w:rPr>
          <w:rFonts w:ascii="Times New Roman" w:hAnsi="Times New Roman" w:cs="Times New Roman"/>
          <w:color w:val="auto"/>
          <w:shd w:val="clear" w:color="auto" w:fill="FFFFFF"/>
          <w:lang w:val="en-US"/>
        </w:rPr>
        <w:t>Engl</w:t>
      </w:r>
      <w:proofErr w:type="spellEnd"/>
      <w:r w:rsidRPr="000D6D3D">
        <w:rPr>
          <w:rFonts w:ascii="Times New Roman" w:hAnsi="Times New Roman" w:cs="Times New Roman"/>
          <w:color w:val="auto"/>
          <w:shd w:val="clear" w:color="auto" w:fill="FFFFFF"/>
          <w:lang w:val="en-US"/>
        </w:rPr>
        <w:t xml:space="preserve"> J Med 2021; 384(8): 693-704.</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shd w:val="clear" w:color="auto" w:fill="FFFFFF"/>
          <w:lang w:val="en-US"/>
        </w:rPr>
        <w:t xml:space="preserve">[7] </w:t>
      </w:r>
      <w:proofErr w:type="spellStart"/>
      <w:r w:rsidRPr="000D6D3D">
        <w:rPr>
          <w:rFonts w:ascii="Times New Roman" w:hAnsi="Times New Roman" w:cs="Times New Roman"/>
          <w:color w:val="auto"/>
          <w:shd w:val="clear" w:color="auto" w:fill="FFFFFF"/>
          <w:lang w:val="en-US"/>
        </w:rPr>
        <w:t>Horby</w:t>
      </w:r>
      <w:proofErr w:type="spellEnd"/>
      <w:r w:rsidRPr="000D6D3D">
        <w:rPr>
          <w:rFonts w:ascii="Times New Roman" w:hAnsi="Times New Roman" w:cs="Times New Roman"/>
          <w:color w:val="auto"/>
          <w:shd w:val="clear" w:color="auto" w:fill="FFFFFF"/>
          <w:lang w:val="en-US"/>
        </w:rPr>
        <w:t xml:space="preserve"> P, Pessoa-</w:t>
      </w:r>
      <w:proofErr w:type="spellStart"/>
      <w:r w:rsidRPr="000D6D3D">
        <w:rPr>
          <w:rFonts w:ascii="Times New Roman" w:hAnsi="Times New Roman" w:cs="Times New Roman"/>
          <w:color w:val="auto"/>
          <w:shd w:val="clear" w:color="auto" w:fill="FFFFFF"/>
          <w:lang w:val="en-US"/>
        </w:rPr>
        <w:t>Amorim</w:t>
      </w:r>
      <w:proofErr w:type="spellEnd"/>
      <w:r w:rsidRPr="000D6D3D">
        <w:rPr>
          <w:rFonts w:ascii="Times New Roman" w:hAnsi="Times New Roman" w:cs="Times New Roman"/>
          <w:color w:val="auto"/>
          <w:shd w:val="clear" w:color="auto" w:fill="FFFFFF"/>
          <w:lang w:val="en-US"/>
        </w:rPr>
        <w:t xml:space="preserve"> G, </w:t>
      </w:r>
      <w:proofErr w:type="spellStart"/>
      <w:r w:rsidRPr="000D6D3D">
        <w:rPr>
          <w:rFonts w:ascii="Times New Roman" w:hAnsi="Times New Roman" w:cs="Times New Roman"/>
          <w:color w:val="auto"/>
          <w:shd w:val="clear" w:color="auto" w:fill="FFFFFF"/>
          <w:lang w:val="en-US"/>
        </w:rPr>
        <w:t>Peto</w:t>
      </w:r>
      <w:proofErr w:type="spellEnd"/>
      <w:r w:rsidRPr="000D6D3D">
        <w:rPr>
          <w:rFonts w:ascii="Times New Roman" w:hAnsi="Times New Roman" w:cs="Times New Roman"/>
          <w:color w:val="auto"/>
          <w:shd w:val="clear" w:color="auto" w:fill="FFFFFF"/>
          <w:lang w:val="en-US"/>
        </w:rPr>
        <w:t xml:space="preserve"> L, </w:t>
      </w:r>
      <w:proofErr w:type="spellStart"/>
      <w:r w:rsidRPr="000D6D3D">
        <w:rPr>
          <w:rFonts w:ascii="Times New Roman" w:hAnsi="Times New Roman" w:cs="Times New Roman"/>
          <w:color w:val="auto"/>
          <w:shd w:val="clear" w:color="auto" w:fill="FFFFFF"/>
          <w:lang w:val="en-US"/>
        </w:rPr>
        <w:t>Brightling</w:t>
      </w:r>
      <w:proofErr w:type="spellEnd"/>
      <w:r w:rsidRPr="000D6D3D">
        <w:rPr>
          <w:rFonts w:ascii="Times New Roman" w:hAnsi="Times New Roman" w:cs="Times New Roman"/>
          <w:color w:val="auto"/>
          <w:shd w:val="clear" w:color="auto" w:fill="FFFFFF"/>
          <w:lang w:val="en-US"/>
        </w:rPr>
        <w:t xml:space="preserve"> C, Sarkar R, Thomas K, et al. Tocilizumab in patients admitted to hospital with COVID-19 (RECOVERY): preliminary results of a </w:t>
      </w:r>
      <w:proofErr w:type="spellStart"/>
      <w:r w:rsidRPr="000D6D3D">
        <w:rPr>
          <w:rFonts w:ascii="Times New Roman" w:hAnsi="Times New Roman" w:cs="Times New Roman"/>
          <w:color w:val="auto"/>
          <w:shd w:val="clear" w:color="auto" w:fill="FFFFFF"/>
          <w:lang w:val="en-US"/>
        </w:rPr>
        <w:t>randomised</w:t>
      </w:r>
      <w:proofErr w:type="spellEnd"/>
      <w:r w:rsidRPr="000D6D3D">
        <w:rPr>
          <w:rFonts w:ascii="Times New Roman" w:hAnsi="Times New Roman" w:cs="Times New Roman"/>
          <w:color w:val="auto"/>
          <w:shd w:val="clear" w:color="auto" w:fill="FFFFFF"/>
          <w:lang w:val="en-US"/>
        </w:rPr>
        <w:t xml:space="preserve">, controlled, open-label, </w:t>
      </w:r>
      <w:r w:rsidRPr="000D6D3D">
        <w:rPr>
          <w:rFonts w:ascii="Times New Roman" w:hAnsi="Times New Roman" w:cs="Times New Roman"/>
          <w:color w:val="212121"/>
          <w:shd w:val="clear" w:color="auto" w:fill="FFFFFF"/>
          <w:lang w:val="en-US"/>
        </w:rPr>
        <w:t>Lancet 2021 May 1;397(10285):1637-1645.</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rPr>
      </w:pPr>
      <w:r w:rsidRPr="000D6D3D">
        <w:rPr>
          <w:rFonts w:ascii="Times New Roman" w:hAnsi="Times New Roman" w:cs="Times New Roman"/>
          <w:color w:val="auto"/>
          <w:lang w:val="en-US"/>
        </w:rPr>
        <w:t xml:space="preserve">[8] Navarro G, </w:t>
      </w:r>
      <w:proofErr w:type="spellStart"/>
      <w:r w:rsidRPr="000D6D3D">
        <w:rPr>
          <w:rFonts w:ascii="Times New Roman" w:hAnsi="Times New Roman" w:cs="Times New Roman"/>
          <w:color w:val="auto"/>
          <w:lang w:val="en-US"/>
        </w:rPr>
        <w:t>Taroumian</w:t>
      </w:r>
      <w:proofErr w:type="spellEnd"/>
      <w:r w:rsidRPr="000D6D3D">
        <w:rPr>
          <w:rFonts w:ascii="Times New Roman" w:hAnsi="Times New Roman" w:cs="Times New Roman"/>
          <w:color w:val="auto"/>
          <w:lang w:val="en-US"/>
        </w:rPr>
        <w:t xml:space="preserve"> S, </w:t>
      </w:r>
      <w:proofErr w:type="spellStart"/>
      <w:r w:rsidRPr="000D6D3D">
        <w:rPr>
          <w:rFonts w:ascii="Times New Roman" w:hAnsi="Times New Roman" w:cs="Times New Roman"/>
          <w:color w:val="auto"/>
          <w:lang w:val="en-US"/>
        </w:rPr>
        <w:t>Barroso</w:t>
      </w:r>
      <w:proofErr w:type="spellEnd"/>
      <w:r w:rsidRPr="000D6D3D">
        <w:rPr>
          <w:rFonts w:ascii="Times New Roman" w:hAnsi="Times New Roman" w:cs="Times New Roman"/>
          <w:color w:val="auto"/>
          <w:lang w:val="en-US"/>
        </w:rPr>
        <w:t xml:space="preserve"> N, </w:t>
      </w:r>
      <w:proofErr w:type="spellStart"/>
      <w:r w:rsidRPr="000D6D3D">
        <w:rPr>
          <w:rFonts w:ascii="Times New Roman" w:hAnsi="Times New Roman" w:cs="Times New Roman"/>
          <w:color w:val="auto"/>
          <w:lang w:val="en-US"/>
        </w:rPr>
        <w:t>Duan</w:t>
      </w:r>
      <w:proofErr w:type="spellEnd"/>
      <w:r w:rsidRPr="000D6D3D">
        <w:rPr>
          <w:rFonts w:ascii="Times New Roman" w:hAnsi="Times New Roman" w:cs="Times New Roman"/>
          <w:color w:val="auto"/>
          <w:lang w:val="en-US"/>
        </w:rPr>
        <w:t xml:space="preserve"> L, </w:t>
      </w:r>
      <w:proofErr w:type="spellStart"/>
      <w:r w:rsidRPr="000D6D3D">
        <w:rPr>
          <w:rFonts w:ascii="Times New Roman" w:hAnsi="Times New Roman" w:cs="Times New Roman"/>
          <w:color w:val="auto"/>
          <w:lang w:val="en-US"/>
        </w:rPr>
        <w:t>Furst</w:t>
      </w:r>
      <w:proofErr w:type="spellEnd"/>
      <w:r w:rsidRPr="000D6D3D">
        <w:rPr>
          <w:rFonts w:ascii="Times New Roman" w:hAnsi="Times New Roman" w:cs="Times New Roman"/>
          <w:color w:val="auto"/>
          <w:lang w:val="en-US"/>
        </w:rPr>
        <w:t xml:space="preserve"> D. Tocilizumab in rheumatoid arthritis: A meta-analysis of efficacy and selected clinical conundrums. </w:t>
      </w:r>
      <w:proofErr w:type="spellStart"/>
      <w:r w:rsidRPr="000D6D3D">
        <w:rPr>
          <w:rFonts w:ascii="Times New Roman" w:hAnsi="Times New Roman" w:cs="Times New Roman"/>
          <w:color w:val="auto"/>
        </w:rPr>
        <w:t>Semin</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Arthritis</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Rheum</w:t>
      </w:r>
      <w:proofErr w:type="spellEnd"/>
      <w:r w:rsidRPr="000D6D3D">
        <w:rPr>
          <w:rFonts w:ascii="Times New Roman" w:hAnsi="Times New Roman" w:cs="Times New Roman"/>
          <w:color w:val="auto"/>
        </w:rPr>
        <w:t xml:space="preserve"> 2014; 43(4): 458–469.</w:t>
      </w:r>
    </w:p>
    <w:p w:rsidR="00BE40B3" w:rsidRPr="000D6D3D" w:rsidRDefault="00BE40B3" w:rsidP="00BE40B3">
      <w:pPr>
        <w:pStyle w:val="Default"/>
        <w:spacing w:line="360" w:lineRule="auto"/>
        <w:rPr>
          <w:rFonts w:ascii="Times New Roman" w:hAnsi="Times New Roman" w:cs="Times New Roman"/>
          <w:color w:val="auto"/>
          <w:shd w:val="clear" w:color="auto" w:fill="FFFFFF"/>
        </w:rPr>
      </w:pPr>
    </w:p>
    <w:p w:rsidR="00BE40B3" w:rsidRPr="000D6D3D" w:rsidRDefault="00BE40B3" w:rsidP="00BE40B3">
      <w:pPr>
        <w:autoSpaceDE w:val="0"/>
        <w:autoSpaceDN w:val="0"/>
        <w:adjustRightInd w:val="0"/>
        <w:spacing w:after="0" w:line="360" w:lineRule="auto"/>
        <w:rPr>
          <w:rFonts w:ascii="Times New Roman" w:hAnsi="Times New Roman" w:cs="Times New Roman"/>
          <w:sz w:val="24"/>
          <w:szCs w:val="24"/>
          <w:shd w:val="clear" w:color="auto" w:fill="FFFFFF"/>
          <w:lang w:val="en-US"/>
        </w:rPr>
      </w:pPr>
      <w:r w:rsidRPr="000D6D3D">
        <w:rPr>
          <w:rFonts w:ascii="Times New Roman" w:hAnsi="Times New Roman" w:cs="Times New Roman"/>
          <w:sz w:val="24"/>
          <w:szCs w:val="24"/>
        </w:rPr>
        <w:lastRenderedPageBreak/>
        <w:t xml:space="preserve">[9] </w:t>
      </w:r>
      <w:proofErr w:type="spellStart"/>
      <w:r w:rsidRPr="000D6D3D">
        <w:rPr>
          <w:rFonts w:ascii="Times New Roman" w:hAnsi="Times New Roman" w:cs="Times New Roman"/>
          <w:sz w:val="24"/>
          <w:szCs w:val="24"/>
          <w:shd w:val="clear" w:color="auto" w:fill="FFFFFF"/>
        </w:rPr>
        <w:t>Campochiaro</w:t>
      </w:r>
      <w:proofErr w:type="spellEnd"/>
      <w:r w:rsidRPr="000D6D3D">
        <w:rPr>
          <w:rFonts w:ascii="Times New Roman" w:hAnsi="Times New Roman" w:cs="Times New Roman"/>
          <w:sz w:val="24"/>
          <w:szCs w:val="24"/>
          <w:shd w:val="clear" w:color="auto" w:fill="FFFFFF"/>
        </w:rPr>
        <w:t xml:space="preserve"> C, </w:t>
      </w:r>
      <w:proofErr w:type="spellStart"/>
      <w:r w:rsidRPr="000D6D3D">
        <w:rPr>
          <w:rFonts w:ascii="Times New Roman" w:hAnsi="Times New Roman" w:cs="Times New Roman"/>
          <w:sz w:val="24"/>
          <w:szCs w:val="24"/>
          <w:shd w:val="clear" w:color="auto" w:fill="FFFFFF"/>
        </w:rPr>
        <w:t>Della</w:t>
      </w:r>
      <w:proofErr w:type="spellEnd"/>
      <w:r w:rsidRPr="000D6D3D">
        <w:rPr>
          <w:rFonts w:ascii="Times New Roman" w:hAnsi="Times New Roman" w:cs="Times New Roman"/>
          <w:sz w:val="24"/>
          <w:szCs w:val="24"/>
          <w:shd w:val="clear" w:color="auto" w:fill="FFFFFF"/>
        </w:rPr>
        <w:t xml:space="preserve">-Torre E, </w:t>
      </w:r>
      <w:proofErr w:type="spellStart"/>
      <w:r w:rsidRPr="000D6D3D">
        <w:rPr>
          <w:rFonts w:ascii="Times New Roman" w:hAnsi="Times New Roman" w:cs="Times New Roman"/>
          <w:sz w:val="24"/>
          <w:szCs w:val="24"/>
          <w:shd w:val="clear" w:color="auto" w:fill="FFFFFF"/>
        </w:rPr>
        <w:t>Cavalli</w:t>
      </w:r>
      <w:proofErr w:type="spellEnd"/>
      <w:r w:rsidRPr="000D6D3D">
        <w:rPr>
          <w:rFonts w:ascii="Times New Roman" w:hAnsi="Times New Roman" w:cs="Times New Roman"/>
          <w:sz w:val="24"/>
          <w:szCs w:val="24"/>
          <w:shd w:val="clear" w:color="auto" w:fill="FFFFFF"/>
        </w:rPr>
        <w:t xml:space="preserve"> G, De Luca G, Ripa M, </w:t>
      </w:r>
      <w:proofErr w:type="spellStart"/>
      <w:r w:rsidRPr="000D6D3D">
        <w:rPr>
          <w:rFonts w:ascii="Times New Roman" w:hAnsi="Times New Roman" w:cs="Times New Roman"/>
          <w:sz w:val="24"/>
          <w:szCs w:val="24"/>
          <w:shd w:val="clear" w:color="auto" w:fill="FFFFFF"/>
        </w:rPr>
        <w:t>Boffini</w:t>
      </w:r>
      <w:proofErr w:type="spellEnd"/>
      <w:r w:rsidRPr="000D6D3D">
        <w:rPr>
          <w:rFonts w:ascii="Times New Roman" w:hAnsi="Times New Roman" w:cs="Times New Roman"/>
          <w:sz w:val="24"/>
          <w:szCs w:val="24"/>
          <w:shd w:val="clear" w:color="auto" w:fill="FFFFFF"/>
        </w:rPr>
        <w:t xml:space="preserve"> N, et al. </w:t>
      </w:r>
      <w:r w:rsidRPr="000D6D3D">
        <w:rPr>
          <w:rFonts w:ascii="Times New Roman" w:hAnsi="Times New Roman" w:cs="Times New Roman"/>
          <w:sz w:val="24"/>
          <w:szCs w:val="24"/>
          <w:shd w:val="clear" w:color="auto" w:fill="FFFFFF"/>
          <w:lang w:val="en-US"/>
        </w:rPr>
        <w:t>Efficacy and safety of tocilizumab in severe COVID-19 patients: a single-</w:t>
      </w:r>
      <w:proofErr w:type="spellStart"/>
      <w:r w:rsidRPr="000D6D3D">
        <w:rPr>
          <w:rFonts w:ascii="Times New Roman" w:hAnsi="Times New Roman" w:cs="Times New Roman"/>
          <w:sz w:val="24"/>
          <w:szCs w:val="24"/>
          <w:shd w:val="clear" w:color="auto" w:fill="FFFFFF"/>
          <w:lang w:val="en-US"/>
        </w:rPr>
        <w:t>centre</w:t>
      </w:r>
      <w:proofErr w:type="spellEnd"/>
      <w:r w:rsidRPr="000D6D3D">
        <w:rPr>
          <w:rFonts w:ascii="Times New Roman" w:hAnsi="Times New Roman" w:cs="Times New Roman"/>
          <w:sz w:val="24"/>
          <w:szCs w:val="24"/>
          <w:shd w:val="clear" w:color="auto" w:fill="FFFFFF"/>
          <w:lang w:val="en-US"/>
        </w:rPr>
        <w:t xml:space="preserve"> retrospective cohort study. </w:t>
      </w:r>
      <w:proofErr w:type="spellStart"/>
      <w:r w:rsidRPr="000D6D3D">
        <w:rPr>
          <w:rFonts w:ascii="Times New Roman" w:hAnsi="Times New Roman" w:cs="Times New Roman"/>
          <w:iCs/>
          <w:sz w:val="24"/>
          <w:szCs w:val="24"/>
          <w:shd w:val="clear" w:color="auto" w:fill="FFFFFF"/>
          <w:lang w:val="en-US"/>
        </w:rPr>
        <w:t>Eur</w:t>
      </w:r>
      <w:proofErr w:type="spellEnd"/>
      <w:r w:rsidRPr="000D6D3D">
        <w:rPr>
          <w:rFonts w:ascii="Times New Roman" w:hAnsi="Times New Roman" w:cs="Times New Roman"/>
          <w:iCs/>
          <w:sz w:val="24"/>
          <w:szCs w:val="24"/>
          <w:shd w:val="clear" w:color="auto" w:fill="FFFFFF"/>
          <w:lang w:val="en-US"/>
        </w:rPr>
        <w:t xml:space="preserve"> J Intern Med 2020.</w:t>
      </w:r>
      <w:r w:rsidRPr="000D6D3D">
        <w:rPr>
          <w:rFonts w:ascii="Times New Roman" w:hAnsi="Times New Roman" w:cs="Times New Roman"/>
          <w:sz w:val="24"/>
          <w:szCs w:val="24"/>
          <w:shd w:val="clear" w:color="auto" w:fill="FFFFFF"/>
          <w:lang w:val="en-US"/>
        </w:rPr>
        <w:t> </w:t>
      </w:r>
      <w:r w:rsidRPr="000D6D3D">
        <w:rPr>
          <w:rFonts w:ascii="Times New Roman" w:hAnsi="Times New Roman" w:cs="Times New Roman"/>
          <w:iCs/>
          <w:sz w:val="24"/>
          <w:szCs w:val="24"/>
          <w:shd w:val="clear" w:color="auto" w:fill="FFFFFF"/>
          <w:lang w:val="en-US"/>
        </w:rPr>
        <w:t>76</w:t>
      </w:r>
      <w:r w:rsidRPr="000D6D3D">
        <w:rPr>
          <w:rFonts w:ascii="Times New Roman" w:hAnsi="Times New Roman" w:cs="Times New Roman"/>
          <w:sz w:val="24"/>
          <w:szCs w:val="24"/>
          <w:shd w:val="clear" w:color="auto" w:fill="FFFFFF"/>
          <w:lang w:val="en-US"/>
        </w:rPr>
        <w:t xml:space="preserve">: 43–49. </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[10] Stone J, </w:t>
      </w:r>
      <w:proofErr w:type="spellStart"/>
      <w:r w:rsidRPr="000D6D3D">
        <w:rPr>
          <w:rFonts w:ascii="Times New Roman" w:hAnsi="Times New Roman" w:cs="Times New Roman"/>
          <w:color w:val="auto"/>
          <w:lang w:val="en-US"/>
        </w:rPr>
        <w:t>Frigault</w:t>
      </w:r>
      <w:proofErr w:type="spellEnd"/>
      <w:r w:rsidRPr="000D6D3D">
        <w:rPr>
          <w:rFonts w:ascii="Times New Roman" w:hAnsi="Times New Roman" w:cs="Times New Roman"/>
          <w:color w:val="auto"/>
          <w:lang w:val="en-US"/>
        </w:rPr>
        <w:t xml:space="preserve"> M, </w:t>
      </w:r>
      <w:proofErr w:type="spellStart"/>
      <w:r w:rsidRPr="000D6D3D">
        <w:rPr>
          <w:rFonts w:ascii="Times New Roman" w:hAnsi="Times New Roman" w:cs="Times New Roman"/>
          <w:color w:val="auto"/>
          <w:lang w:val="en-US"/>
        </w:rPr>
        <w:t>Serling</w:t>
      </w:r>
      <w:proofErr w:type="spellEnd"/>
      <w:r w:rsidRPr="000D6D3D">
        <w:rPr>
          <w:rFonts w:ascii="Times New Roman" w:hAnsi="Times New Roman" w:cs="Times New Roman"/>
          <w:color w:val="auto"/>
          <w:lang w:val="en-US"/>
        </w:rPr>
        <w:t xml:space="preserve">-Boyd N, Fernandez A, Harvey L, Foulkes A, et al. Efficacy of Tocilizumab in Patients Hospitalized with Covid-19. N </w:t>
      </w:r>
      <w:proofErr w:type="spellStart"/>
      <w:r w:rsidRPr="000D6D3D">
        <w:rPr>
          <w:rFonts w:ascii="Times New Roman" w:hAnsi="Times New Roman" w:cs="Times New Roman"/>
          <w:color w:val="auto"/>
          <w:lang w:val="en-US"/>
        </w:rPr>
        <w:t>Engl</w:t>
      </w:r>
      <w:proofErr w:type="spellEnd"/>
      <w:r w:rsidRPr="000D6D3D">
        <w:rPr>
          <w:rFonts w:ascii="Times New Roman" w:hAnsi="Times New Roman" w:cs="Times New Roman"/>
          <w:color w:val="auto"/>
          <w:lang w:val="en-US"/>
        </w:rPr>
        <w:t xml:space="preserve"> J Med 2020; 383(24): 2333-2344.</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[11] Hermine O, Mariette X, </w:t>
      </w:r>
      <w:proofErr w:type="spellStart"/>
      <w:r w:rsidRPr="000D6D3D">
        <w:rPr>
          <w:rFonts w:ascii="Times New Roman" w:hAnsi="Times New Roman" w:cs="Times New Roman"/>
          <w:color w:val="auto"/>
          <w:lang w:val="en-US"/>
        </w:rPr>
        <w:t>Tharaux</w:t>
      </w:r>
      <w:proofErr w:type="spellEnd"/>
      <w:r w:rsidRPr="000D6D3D">
        <w:rPr>
          <w:rFonts w:ascii="Times New Roman" w:hAnsi="Times New Roman" w:cs="Times New Roman"/>
          <w:color w:val="auto"/>
          <w:lang w:val="en-US"/>
        </w:rPr>
        <w:t xml:space="preserve"> P, </w:t>
      </w:r>
      <w:proofErr w:type="spellStart"/>
      <w:r w:rsidRPr="000D6D3D">
        <w:rPr>
          <w:rFonts w:ascii="Times New Roman" w:hAnsi="Times New Roman" w:cs="Times New Roman"/>
          <w:color w:val="auto"/>
          <w:lang w:val="en-US"/>
        </w:rPr>
        <w:t>Resche-Rigon</w:t>
      </w:r>
      <w:proofErr w:type="spellEnd"/>
      <w:r w:rsidRPr="000D6D3D">
        <w:rPr>
          <w:rFonts w:ascii="Times New Roman" w:hAnsi="Times New Roman" w:cs="Times New Roman"/>
          <w:color w:val="auto"/>
          <w:lang w:val="en-US"/>
        </w:rPr>
        <w:t xml:space="preserve"> M, </w:t>
      </w:r>
      <w:proofErr w:type="spellStart"/>
      <w:r w:rsidRPr="000D6D3D">
        <w:rPr>
          <w:rFonts w:ascii="Times New Roman" w:hAnsi="Times New Roman" w:cs="Times New Roman"/>
          <w:color w:val="auto"/>
          <w:lang w:val="en-US"/>
        </w:rPr>
        <w:t>Porcher</w:t>
      </w:r>
      <w:proofErr w:type="spellEnd"/>
      <w:r w:rsidRPr="000D6D3D">
        <w:rPr>
          <w:rFonts w:ascii="Times New Roman" w:hAnsi="Times New Roman" w:cs="Times New Roman"/>
          <w:color w:val="auto"/>
          <w:lang w:val="en-US"/>
        </w:rPr>
        <w:t xml:space="preserve"> R, </w:t>
      </w:r>
      <w:proofErr w:type="spellStart"/>
      <w:r w:rsidRPr="000D6D3D">
        <w:rPr>
          <w:rFonts w:ascii="Times New Roman" w:hAnsi="Times New Roman" w:cs="Times New Roman"/>
          <w:color w:val="auto"/>
          <w:lang w:val="en-US"/>
        </w:rPr>
        <w:t>Ravaud</w:t>
      </w:r>
      <w:proofErr w:type="spellEnd"/>
      <w:r w:rsidRPr="000D6D3D">
        <w:rPr>
          <w:rFonts w:ascii="Times New Roman" w:hAnsi="Times New Roman" w:cs="Times New Roman"/>
          <w:color w:val="auto"/>
          <w:lang w:val="en-US"/>
        </w:rPr>
        <w:t xml:space="preserve"> P, et al. Effect of Tocilizumab vs Usual Care in Adults Hospitalized With COVID-19 and Moderate or Severe Pneumonia: A Randomized Clinical Trial. JAMA Inter Med 2021; 181(1): 32–40.</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rPr>
      </w:pPr>
      <w:r w:rsidRPr="000D6D3D">
        <w:rPr>
          <w:rFonts w:ascii="Times New Roman" w:hAnsi="Times New Roman" w:cs="Times New Roman"/>
          <w:color w:val="auto"/>
          <w:lang w:val="en-US"/>
        </w:rPr>
        <w:t xml:space="preserve">[12] </w:t>
      </w:r>
      <w:proofErr w:type="spellStart"/>
      <w:r w:rsidRPr="000D6D3D">
        <w:rPr>
          <w:rFonts w:ascii="Times New Roman" w:hAnsi="Times New Roman" w:cs="Times New Roman"/>
          <w:color w:val="auto"/>
          <w:lang w:val="en-US"/>
        </w:rPr>
        <w:t>Salvarani</w:t>
      </w:r>
      <w:proofErr w:type="spellEnd"/>
      <w:r w:rsidRPr="000D6D3D">
        <w:rPr>
          <w:rFonts w:ascii="Times New Roman" w:hAnsi="Times New Roman" w:cs="Times New Roman"/>
          <w:color w:val="auto"/>
          <w:lang w:val="en-US"/>
        </w:rPr>
        <w:t xml:space="preserve"> C, </w:t>
      </w:r>
      <w:proofErr w:type="spellStart"/>
      <w:r w:rsidRPr="000D6D3D">
        <w:rPr>
          <w:rFonts w:ascii="Times New Roman" w:hAnsi="Times New Roman" w:cs="Times New Roman"/>
          <w:color w:val="auto"/>
          <w:lang w:val="en-US"/>
        </w:rPr>
        <w:t>Dolci</w:t>
      </w:r>
      <w:proofErr w:type="spellEnd"/>
      <w:r w:rsidRPr="000D6D3D">
        <w:rPr>
          <w:rFonts w:ascii="Times New Roman" w:hAnsi="Times New Roman" w:cs="Times New Roman"/>
          <w:color w:val="auto"/>
          <w:lang w:val="en-US"/>
        </w:rPr>
        <w:t xml:space="preserve"> G, </w:t>
      </w:r>
      <w:proofErr w:type="spellStart"/>
      <w:r w:rsidRPr="000D6D3D">
        <w:rPr>
          <w:rFonts w:ascii="Times New Roman" w:hAnsi="Times New Roman" w:cs="Times New Roman"/>
          <w:color w:val="auto"/>
          <w:lang w:val="en-US"/>
        </w:rPr>
        <w:t>Massari</w:t>
      </w:r>
      <w:proofErr w:type="spellEnd"/>
      <w:r w:rsidRPr="000D6D3D">
        <w:rPr>
          <w:rFonts w:ascii="Times New Roman" w:hAnsi="Times New Roman" w:cs="Times New Roman"/>
          <w:color w:val="auto"/>
          <w:lang w:val="en-US"/>
        </w:rPr>
        <w:t xml:space="preserve"> M, </w:t>
      </w:r>
      <w:proofErr w:type="spellStart"/>
      <w:r w:rsidRPr="000D6D3D">
        <w:rPr>
          <w:rFonts w:ascii="Times New Roman" w:hAnsi="Times New Roman" w:cs="Times New Roman"/>
          <w:color w:val="auto"/>
          <w:lang w:val="en-US"/>
        </w:rPr>
        <w:t>Resche-Rigon</w:t>
      </w:r>
      <w:proofErr w:type="spellEnd"/>
      <w:r w:rsidRPr="000D6D3D">
        <w:rPr>
          <w:rFonts w:ascii="Times New Roman" w:hAnsi="Times New Roman" w:cs="Times New Roman"/>
          <w:color w:val="auto"/>
          <w:lang w:val="en-US"/>
        </w:rPr>
        <w:t xml:space="preserve"> M, </w:t>
      </w:r>
      <w:proofErr w:type="spellStart"/>
      <w:r w:rsidRPr="000D6D3D">
        <w:rPr>
          <w:rFonts w:ascii="Times New Roman" w:hAnsi="Times New Roman" w:cs="Times New Roman"/>
          <w:color w:val="auto"/>
          <w:lang w:val="en-US"/>
        </w:rPr>
        <w:t>Porcher</w:t>
      </w:r>
      <w:proofErr w:type="spellEnd"/>
      <w:r w:rsidRPr="000D6D3D">
        <w:rPr>
          <w:rFonts w:ascii="Times New Roman" w:hAnsi="Times New Roman" w:cs="Times New Roman"/>
          <w:color w:val="auto"/>
          <w:lang w:val="en-US"/>
        </w:rPr>
        <w:t xml:space="preserve"> R, </w:t>
      </w:r>
      <w:proofErr w:type="spellStart"/>
      <w:r w:rsidRPr="000D6D3D">
        <w:rPr>
          <w:rFonts w:ascii="Times New Roman" w:hAnsi="Times New Roman" w:cs="Times New Roman"/>
          <w:color w:val="auto"/>
          <w:lang w:val="en-US"/>
        </w:rPr>
        <w:t>Ravaud</w:t>
      </w:r>
      <w:proofErr w:type="spellEnd"/>
      <w:r w:rsidRPr="000D6D3D">
        <w:rPr>
          <w:rFonts w:ascii="Times New Roman" w:hAnsi="Times New Roman" w:cs="Times New Roman"/>
          <w:color w:val="auto"/>
          <w:lang w:val="en-US"/>
        </w:rPr>
        <w:t xml:space="preserve"> P, et al. Effect of Tocilizumab vs Standard Care on Clinical Worsening in Patients Hospitalized With COVID-19 Pneumonia: A Randomized Clinical Trial. </w:t>
      </w:r>
      <w:r w:rsidRPr="000D6D3D">
        <w:rPr>
          <w:rFonts w:ascii="Times New Roman" w:hAnsi="Times New Roman" w:cs="Times New Roman"/>
          <w:color w:val="auto"/>
        </w:rPr>
        <w:t xml:space="preserve">JAMA </w:t>
      </w:r>
      <w:proofErr w:type="spellStart"/>
      <w:r w:rsidRPr="000D6D3D">
        <w:rPr>
          <w:rFonts w:ascii="Times New Roman" w:hAnsi="Times New Roman" w:cs="Times New Roman"/>
          <w:color w:val="auto"/>
        </w:rPr>
        <w:t>Intern</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Med</w:t>
      </w:r>
      <w:proofErr w:type="spellEnd"/>
      <w:r w:rsidRPr="000D6D3D">
        <w:rPr>
          <w:rFonts w:ascii="Times New Roman" w:hAnsi="Times New Roman" w:cs="Times New Roman"/>
          <w:color w:val="auto"/>
        </w:rPr>
        <w:t xml:space="preserve"> 2021; 181(1):24-31.</w:t>
      </w:r>
    </w:p>
    <w:p w:rsidR="00BE40B3" w:rsidRPr="000D6D3D" w:rsidRDefault="00BE40B3" w:rsidP="00BE40B3">
      <w:pPr>
        <w:pStyle w:val="Default"/>
        <w:spacing w:line="360" w:lineRule="auto"/>
        <w:rPr>
          <w:rFonts w:ascii="Times New Roman" w:hAnsi="Times New Roman" w:cs="Times New Roman"/>
          <w:color w:val="auto"/>
        </w:rPr>
      </w:pPr>
    </w:p>
    <w:p w:rsidR="008B0307" w:rsidRPr="000D6D3D" w:rsidRDefault="008B0307" w:rsidP="008B0307">
      <w:pPr>
        <w:pStyle w:val="Default"/>
        <w:spacing w:line="360" w:lineRule="auto"/>
        <w:rPr>
          <w:rFonts w:ascii="Times New Roman" w:hAnsi="Times New Roman" w:cs="Times New Roman"/>
          <w:color w:val="auto"/>
        </w:rPr>
      </w:pPr>
      <w:r w:rsidRPr="000D6D3D">
        <w:rPr>
          <w:rFonts w:ascii="Times New Roman" w:hAnsi="Times New Roman" w:cs="Times New Roman"/>
          <w:color w:val="auto"/>
        </w:rPr>
        <w:t xml:space="preserve">[13] </w:t>
      </w:r>
      <w:r w:rsidRPr="000D6D3D">
        <w:rPr>
          <w:rFonts w:ascii="Times New Roman" w:hAnsi="Times New Roman" w:cs="Times New Roman"/>
          <w:color w:val="auto"/>
          <w:shd w:val="clear" w:color="auto" w:fill="FFFFFF"/>
        </w:rPr>
        <w:t xml:space="preserve">Organización Panamericana de la Salud. Buenas Prácticas de Farmacovigilancia. Washington, D.C.: OPS; 2011 (Red PARF Documento Técnico; 5). Disponible en: </w:t>
      </w:r>
      <w:hyperlink r:id="rId8" w:history="1">
        <w:r w:rsidRPr="000D6D3D">
          <w:rPr>
            <w:rStyle w:val="Hipervnculo"/>
            <w:rFonts w:ascii="Times New Roman" w:hAnsi="Times New Roman" w:cs="Times New Roman"/>
            <w:color w:val="auto"/>
            <w:shd w:val="clear" w:color="auto" w:fill="FFFFFF"/>
          </w:rPr>
          <w:t>https://iris.paho.org/handle/10665.2/51553</w:t>
        </w:r>
      </w:hyperlink>
    </w:p>
    <w:p w:rsidR="008B0307" w:rsidRPr="000D6D3D" w:rsidRDefault="008B0307" w:rsidP="008B0307">
      <w:pPr>
        <w:pStyle w:val="Default"/>
        <w:spacing w:line="360" w:lineRule="auto"/>
        <w:rPr>
          <w:rFonts w:ascii="Times New Roman" w:hAnsi="Times New Roman" w:cs="Times New Roman"/>
          <w:color w:val="auto"/>
          <w:shd w:val="clear" w:color="auto" w:fill="FFFFFF"/>
        </w:rPr>
      </w:pPr>
      <w:r w:rsidRPr="000D6D3D">
        <w:rPr>
          <w:rFonts w:ascii="Times New Roman" w:hAnsi="Times New Roman" w:cs="Times New Roman"/>
          <w:color w:val="auto"/>
          <w:shd w:val="clear" w:color="auto" w:fill="FFFFFF"/>
        </w:rPr>
        <w:t>[Consultado en 04 Noviembre 2021].</w:t>
      </w:r>
    </w:p>
    <w:p w:rsidR="008B0307" w:rsidRPr="000D6D3D" w:rsidRDefault="008B0307" w:rsidP="008B0307">
      <w:pPr>
        <w:pStyle w:val="Default"/>
        <w:spacing w:line="360" w:lineRule="auto"/>
        <w:rPr>
          <w:rFonts w:ascii="Times New Roman" w:hAnsi="Times New Roman" w:cs="Times New Roman"/>
          <w:color w:val="auto"/>
        </w:rPr>
      </w:pPr>
    </w:p>
    <w:p w:rsidR="00BE40B3" w:rsidRPr="000D6D3D" w:rsidRDefault="008B0307" w:rsidP="008B0307">
      <w:pPr>
        <w:pStyle w:val="Default"/>
        <w:spacing w:line="360" w:lineRule="auto"/>
        <w:rPr>
          <w:rFonts w:ascii="Times New Roman" w:hAnsi="Times New Roman" w:cs="Times New Roman"/>
          <w:color w:val="auto"/>
          <w:shd w:val="clear" w:color="auto" w:fill="FFFFFF"/>
        </w:rPr>
      </w:pPr>
      <w:r w:rsidRPr="000D6D3D">
        <w:rPr>
          <w:rFonts w:ascii="Times New Roman" w:hAnsi="Times New Roman" w:cs="Times New Roman"/>
          <w:color w:val="auto"/>
        </w:rPr>
        <w:t xml:space="preserve"> </w:t>
      </w:r>
      <w:r w:rsidR="00BE40B3" w:rsidRPr="000D6D3D">
        <w:rPr>
          <w:rFonts w:ascii="Times New Roman" w:hAnsi="Times New Roman" w:cs="Times New Roman"/>
          <w:color w:val="auto"/>
        </w:rPr>
        <w:t>[1</w:t>
      </w:r>
      <w:r w:rsidRPr="000D6D3D">
        <w:rPr>
          <w:rFonts w:ascii="Times New Roman" w:hAnsi="Times New Roman" w:cs="Times New Roman"/>
          <w:color w:val="auto"/>
        </w:rPr>
        <w:t>4</w:t>
      </w:r>
      <w:r w:rsidR="00BE40B3" w:rsidRPr="000D6D3D">
        <w:rPr>
          <w:rFonts w:ascii="Times New Roman" w:hAnsi="Times New Roman" w:cs="Times New Roman"/>
          <w:color w:val="auto"/>
        </w:rPr>
        <w:t xml:space="preserve">] </w:t>
      </w:r>
      <w:r w:rsidR="00BE40B3" w:rsidRPr="000D6D3D">
        <w:rPr>
          <w:rFonts w:ascii="Times New Roman" w:hAnsi="Times New Roman" w:cs="Times New Roman"/>
          <w:color w:val="auto"/>
          <w:shd w:val="clear" w:color="auto" w:fill="FFFFFF"/>
        </w:rPr>
        <w:t xml:space="preserve">Ficha técnica de Medicamento, folleto de información al profesional: ACTEMRA, </w:t>
      </w:r>
      <w:proofErr w:type="spellStart"/>
      <w:r w:rsidR="00BE40B3" w:rsidRPr="000D6D3D">
        <w:rPr>
          <w:rFonts w:ascii="Times New Roman" w:hAnsi="Times New Roman" w:cs="Times New Roman"/>
          <w:color w:val="auto"/>
          <w:shd w:val="clear" w:color="auto" w:fill="FFFFFF"/>
        </w:rPr>
        <w:t>Tocilizumab</w:t>
      </w:r>
      <w:proofErr w:type="spellEnd"/>
      <w:r w:rsidR="00BE40B3" w:rsidRPr="000D6D3D">
        <w:rPr>
          <w:rFonts w:ascii="Times New Roman" w:hAnsi="Times New Roman" w:cs="Times New Roman"/>
          <w:color w:val="auto"/>
          <w:shd w:val="clear" w:color="auto" w:fill="FFFFFF"/>
        </w:rPr>
        <w:t xml:space="preserve"> Roche. Centro de información de medicamentos, Agencia Española de Medicamentos y Productos Sanitarios. Disponible en: </w:t>
      </w:r>
      <w:hyperlink r:id="rId9" w:history="1">
        <w:r w:rsidR="00BE40B3" w:rsidRPr="000D6D3D">
          <w:rPr>
            <w:rStyle w:val="Hipervnculo"/>
            <w:rFonts w:ascii="Times New Roman" w:hAnsi="Times New Roman" w:cs="Times New Roman"/>
            <w:shd w:val="clear" w:color="auto" w:fill="FFFFFF"/>
          </w:rPr>
          <w:t>https://cima.aemps.es/cima/pdfs/es/ft/08492003/FT_08492003.pdf</w:t>
        </w:r>
      </w:hyperlink>
    </w:p>
    <w:p w:rsidR="00BE40B3" w:rsidRPr="000D6D3D" w:rsidRDefault="00BE40B3" w:rsidP="00BE40B3">
      <w:pPr>
        <w:pStyle w:val="Default"/>
        <w:spacing w:line="360" w:lineRule="auto"/>
        <w:rPr>
          <w:rFonts w:ascii="Times New Roman" w:hAnsi="Times New Roman" w:cs="Times New Roman"/>
          <w:color w:val="auto"/>
        </w:rPr>
      </w:pPr>
      <w:r w:rsidRPr="000D6D3D">
        <w:rPr>
          <w:rFonts w:ascii="Times New Roman" w:hAnsi="Times New Roman" w:cs="Times New Roman"/>
          <w:color w:val="auto"/>
          <w:shd w:val="clear" w:color="auto" w:fill="FFFFFF"/>
        </w:rPr>
        <w:t>[Consultado en 19 Octubre 2020].</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rPr>
      </w:pPr>
      <w:r w:rsidRPr="000D6D3D">
        <w:rPr>
          <w:rFonts w:ascii="Times New Roman" w:hAnsi="Times New Roman" w:cs="Times New Roman"/>
          <w:color w:val="auto"/>
          <w:lang w:val="en-US"/>
        </w:rPr>
        <w:t xml:space="preserve">[15] Common Terminology Criteria for Adverse Events (CTCAE v5.0). </w:t>
      </w:r>
      <w:proofErr w:type="spellStart"/>
      <w:r w:rsidRPr="000D6D3D">
        <w:rPr>
          <w:rFonts w:ascii="Times New Roman" w:hAnsi="Times New Roman" w:cs="Times New Roman"/>
          <w:color w:val="auto"/>
        </w:rPr>
        <w:t>National</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Institutes</w:t>
      </w:r>
      <w:proofErr w:type="spellEnd"/>
      <w:r w:rsidRPr="000D6D3D">
        <w:rPr>
          <w:rFonts w:ascii="Times New Roman" w:hAnsi="Times New Roman" w:cs="Times New Roman"/>
          <w:color w:val="auto"/>
        </w:rPr>
        <w:t xml:space="preserve"> of </w:t>
      </w:r>
      <w:proofErr w:type="spellStart"/>
      <w:r w:rsidRPr="000D6D3D">
        <w:rPr>
          <w:rFonts w:ascii="Times New Roman" w:hAnsi="Times New Roman" w:cs="Times New Roman"/>
          <w:color w:val="auto"/>
        </w:rPr>
        <w:t>Health</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National</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Cancer</w:t>
      </w:r>
      <w:proofErr w:type="spellEnd"/>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rPr>
        <w:t>Institute</w:t>
      </w:r>
      <w:proofErr w:type="spellEnd"/>
      <w:r w:rsidRPr="000D6D3D">
        <w:rPr>
          <w:rFonts w:ascii="Times New Roman" w:hAnsi="Times New Roman" w:cs="Times New Roman"/>
          <w:color w:val="auto"/>
        </w:rPr>
        <w:t xml:space="preserve">. Disponible en: </w:t>
      </w:r>
      <w:hyperlink r:id="rId10" w:anchor="ctc_60" w:history="1">
        <w:r w:rsidRPr="000D6D3D">
          <w:rPr>
            <w:rStyle w:val="Hipervnculo"/>
            <w:rFonts w:ascii="Times New Roman" w:hAnsi="Times New Roman" w:cs="Times New Roman"/>
            <w:color w:val="auto"/>
          </w:rPr>
          <w:t>https://ctep.cancer.gov/protocoldevelopment/electronic_applications/ctc.htm#ctc_60</w:t>
        </w:r>
      </w:hyperlink>
      <w:r w:rsidRPr="000D6D3D">
        <w:rPr>
          <w:rFonts w:ascii="Times New Roman" w:hAnsi="Times New Roman" w:cs="Times New Roman"/>
          <w:color w:val="auto"/>
        </w:rPr>
        <w:t xml:space="preserve">  [Consultado el 24 de Septiembre de 2020].</w:t>
      </w:r>
    </w:p>
    <w:p w:rsidR="00BE40B3" w:rsidRPr="000D6D3D" w:rsidRDefault="00BE40B3" w:rsidP="00BE40B3">
      <w:pPr>
        <w:pStyle w:val="Default"/>
        <w:spacing w:line="360" w:lineRule="auto"/>
        <w:rPr>
          <w:rFonts w:ascii="Times New Roman" w:hAnsi="Times New Roman" w:cs="Times New Roman"/>
          <w:color w:val="auto"/>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rPr>
        <w:t xml:space="preserve">[16] </w:t>
      </w:r>
      <w:r w:rsidRPr="000D6D3D">
        <w:rPr>
          <w:rFonts w:ascii="Times New Roman" w:hAnsi="Times New Roman" w:cs="Times New Roman"/>
          <w:color w:val="auto"/>
          <w:shd w:val="clear" w:color="auto" w:fill="FFFFFF"/>
        </w:rPr>
        <w:t xml:space="preserve">Naranjo C, Busto U, </w:t>
      </w:r>
      <w:proofErr w:type="spellStart"/>
      <w:r w:rsidRPr="000D6D3D">
        <w:rPr>
          <w:rFonts w:ascii="Times New Roman" w:hAnsi="Times New Roman" w:cs="Times New Roman"/>
          <w:color w:val="auto"/>
          <w:shd w:val="clear" w:color="auto" w:fill="FFFFFF"/>
        </w:rPr>
        <w:t>Sellers</w:t>
      </w:r>
      <w:proofErr w:type="spellEnd"/>
      <w:r w:rsidRPr="000D6D3D">
        <w:rPr>
          <w:rFonts w:ascii="Times New Roman" w:hAnsi="Times New Roman" w:cs="Times New Roman"/>
          <w:color w:val="auto"/>
          <w:shd w:val="clear" w:color="auto" w:fill="FFFFFF"/>
        </w:rPr>
        <w:t xml:space="preserve"> E, </w:t>
      </w:r>
      <w:proofErr w:type="spellStart"/>
      <w:r w:rsidRPr="000D6D3D">
        <w:rPr>
          <w:rFonts w:ascii="Times New Roman" w:hAnsi="Times New Roman" w:cs="Times New Roman"/>
          <w:color w:val="auto"/>
          <w:shd w:val="clear" w:color="auto" w:fill="FFFFFF"/>
        </w:rPr>
        <w:t>Sandor</w:t>
      </w:r>
      <w:proofErr w:type="spellEnd"/>
      <w:r w:rsidRPr="000D6D3D">
        <w:rPr>
          <w:rFonts w:ascii="Times New Roman" w:hAnsi="Times New Roman" w:cs="Times New Roman"/>
          <w:color w:val="auto"/>
          <w:shd w:val="clear" w:color="auto" w:fill="FFFFFF"/>
        </w:rPr>
        <w:t xml:space="preserve"> P, Ruiz I, Roberts E, et al. </w:t>
      </w:r>
      <w:r w:rsidRPr="000D6D3D">
        <w:rPr>
          <w:rFonts w:ascii="Times New Roman" w:hAnsi="Times New Roman" w:cs="Times New Roman"/>
          <w:color w:val="auto"/>
          <w:shd w:val="clear" w:color="auto" w:fill="FFFFFF"/>
          <w:lang w:val="en-US"/>
        </w:rPr>
        <w:t>A method for estimating the probability of adverse drug reactions. </w:t>
      </w:r>
      <w:proofErr w:type="spellStart"/>
      <w:r w:rsidRPr="000D6D3D">
        <w:rPr>
          <w:rFonts w:ascii="Times New Roman" w:hAnsi="Times New Roman" w:cs="Times New Roman"/>
          <w:iCs/>
          <w:color w:val="auto"/>
          <w:shd w:val="clear" w:color="auto" w:fill="FFFFFF"/>
          <w:lang w:val="en-US"/>
        </w:rPr>
        <w:t>Clin</w:t>
      </w:r>
      <w:proofErr w:type="spellEnd"/>
      <w:r w:rsidRPr="000D6D3D">
        <w:rPr>
          <w:rFonts w:ascii="Times New Roman" w:hAnsi="Times New Roman" w:cs="Times New Roman"/>
          <w:iCs/>
          <w:color w:val="auto"/>
          <w:shd w:val="clear" w:color="auto" w:fill="FFFFFF"/>
          <w:lang w:val="en-US"/>
        </w:rPr>
        <w:t xml:space="preserve"> </w:t>
      </w:r>
      <w:proofErr w:type="spellStart"/>
      <w:r w:rsidRPr="000D6D3D">
        <w:rPr>
          <w:rFonts w:ascii="Times New Roman" w:hAnsi="Times New Roman" w:cs="Times New Roman"/>
          <w:iCs/>
          <w:color w:val="auto"/>
          <w:shd w:val="clear" w:color="auto" w:fill="FFFFFF"/>
          <w:lang w:val="en-US"/>
        </w:rPr>
        <w:t>Pharmacol</w:t>
      </w:r>
      <w:proofErr w:type="spellEnd"/>
      <w:r w:rsidRPr="000D6D3D">
        <w:rPr>
          <w:rFonts w:ascii="Times New Roman" w:hAnsi="Times New Roman" w:cs="Times New Roman"/>
          <w:iCs/>
          <w:color w:val="auto"/>
          <w:shd w:val="clear" w:color="auto" w:fill="FFFFFF"/>
          <w:lang w:val="en-US"/>
        </w:rPr>
        <w:t xml:space="preserve"> </w:t>
      </w:r>
      <w:proofErr w:type="spellStart"/>
      <w:r w:rsidRPr="000D6D3D">
        <w:rPr>
          <w:rFonts w:ascii="Times New Roman" w:hAnsi="Times New Roman" w:cs="Times New Roman"/>
          <w:iCs/>
          <w:color w:val="auto"/>
          <w:shd w:val="clear" w:color="auto" w:fill="FFFFFF"/>
          <w:lang w:val="en-US"/>
        </w:rPr>
        <w:t>Ther</w:t>
      </w:r>
      <w:proofErr w:type="spellEnd"/>
      <w:r w:rsidRPr="000D6D3D">
        <w:rPr>
          <w:rFonts w:ascii="Times New Roman" w:hAnsi="Times New Roman" w:cs="Times New Roman"/>
          <w:iCs/>
          <w:color w:val="auto"/>
          <w:shd w:val="clear" w:color="auto" w:fill="FFFFFF"/>
          <w:lang w:val="en-US"/>
        </w:rPr>
        <w:t xml:space="preserve"> 1981;</w:t>
      </w:r>
      <w:r w:rsidRPr="000D6D3D">
        <w:rPr>
          <w:rFonts w:ascii="Times New Roman" w:hAnsi="Times New Roman" w:cs="Times New Roman"/>
          <w:color w:val="auto"/>
          <w:shd w:val="clear" w:color="auto" w:fill="FFFFFF"/>
          <w:lang w:val="en-US"/>
        </w:rPr>
        <w:t> </w:t>
      </w:r>
      <w:r w:rsidRPr="000D6D3D">
        <w:rPr>
          <w:rFonts w:ascii="Times New Roman" w:hAnsi="Times New Roman" w:cs="Times New Roman"/>
          <w:iCs/>
          <w:color w:val="auto"/>
          <w:shd w:val="clear" w:color="auto" w:fill="FFFFFF"/>
          <w:lang w:val="en-US"/>
        </w:rPr>
        <w:t>30</w:t>
      </w:r>
      <w:r w:rsidRPr="000D6D3D">
        <w:rPr>
          <w:rFonts w:ascii="Times New Roman" w:hAnsi="Times New Roman" w:cs="Times New Roman"/>
          <w:color w:val="auto"/>
          <w:shd w:val="clear" w:color="auto" w:fill="FFFFFF"/>
          <w:lang w:val="en-US"/>
        </w:rPr>
        <w:t xml:space="preserve">(2): 239–245. </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[17] </w:t>
      </w:r>
      <w:proofErr w:type="spellStart"/>
      <w:r w:rsidRPr="000D6D3D">
        <w:rPr>
          <w:rFonts w:ascii="Times New Roman" w:hAnsi="Times New Roman" w:cs="Times New Roman"/>
          <w:color w:val="auto"/>
          <w:shd w:val="clear" w:color="auto" w:fill="FFFFFF"/>
          <w:lang w:val="en-US"/>
        </w:rPr>
        <w:t>Schumock</w:t>
      </w:r>
      <w:proofErr w:type="spellEnd"/>
      <w:r w:rsidRPr="000D6D3D">
        <w:rPr>
          <w:rFonts w:ascii="Times New Roman" w:hAnsi="Times New Roman" w:cs="Times New Roman"/>
          <w:color w:val="auto"/>
          <w:shd w:val="clear" w:color="auto" w:fill="FFFFFF"/>
          <w:lang w:val="en-US"/>
        </w:rPr>
        <w:t xml:space="preserve"> G, Thornton J. Focusing on the preventability of adverse drug reactions. </w:t>
      </w:r>
      <w:proofErr w:type="spellStart"/>
      <w:r w:rsidRPr="000D6D3D">
        <w:rPr>
          <w:rFonts w:ascii="Times New Roman" w:hAnsi="Times New Roman" w:cs="Times New Roman"/>
          <w:iCs/>
          <w:color w:val="auto"/>
          <w:shd w:val="clear" w:color="auto" w:fill="FFFFFF"/>
          <w:lang w:val="en-US"/>
        </w:rPr>
        <w:t>Hosp</w:t>
      </w:r>
      <w:proofErr w:type="spellEnd"/>
      <w:r w:rsidRPr="000D6D3D">
        <w:rPr>
          <w:rFonts w:ascii="Times New Roman" w:hAnsi="Times New Roman" w:cs="Times New Roman"/>
          <w:iCs/>
          <w:color w:val="auto"/>
          <w:shd w:val="clear" w:color="auto" w:fill="FFFFFF"/>
          <w:lang w:val="en-US"/>
        </w:rPr>
        <w:t xml:space="preserve"> Pharm 1992;</w:t>
      </w:r>
      <w:r w:rsidRPr="000D6D3D">
        <w:rPr>
          <w:rFonts w:ascii="Times New Roman" w:hAnsi="Times New Roman" w:cs="Times New Roman"/>
          <w:color w:val="auto"/>
          <w:shd w:val="clear" w:color="auto" w:fill="FFFFFF"/>
          <w:lang w:val="en-US"/>
        </w:rPr>
        <w:t> </w:t>
      </w:r>
      <w:r w:rsidRPr="000D6D3D">
        <w:rPr>
          <w:rFonts w:ascii="Times New Roman" w:hAnsi="Times New Roman" w:cs="Times New Roman"/>
          <w:iCs/>
          <w:color w:val="auto"/>
          <w:shd w:val="clear" w:color="auto" w:fill="FFFFFF"/>
          <w:lang w:val="en-US"/>
        </w:rPr>
        <w:t>27</w:t>
      </w:r>
      <w:r w:rsidRPr="000D6D3D">
        <w:rPr>
          <w:rFonts w:ascii="Times New Roman" w:hAnsi="Times New Roman" w:cs="Times New Roman"/>
          <w:color w:val="auto"/>
          <w:shd w:val="clear" w:color="auto" w:fill="FFFFFF"/>
          <w:lang w:val="en-US"/>
        </w:rPr>
        <w:t>(6): 538.</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[18] Von Elm E, Altman D, Egger M, </w:t>
      </w:r>
      <w:proofErr w:type="spellStart"/>
      <w:r w:rsidRPr="000D6D3D">
        <w:rPr>
          <w:rFonts w:ascii="Times New Roman" w:hAnsi="Times New Roman" w:cs="Times New Roman"/>
          <w:color w:val="auto"/>
          <w:lang w:val="en-US"/>
        </w:rPr>
        <w:t>Pocock</w:t>
      </w:r>
      <w:proofErr w:type="spellEnd"/>
      <w:r w:rsidRPr="000D6D3D">
        <w:rPr>
          <w:rFonts w:ascii="Times New Roman" w:hAnsi="Times New Roman" w:cs="Times New Roman"/>
          <w:color w:val="auto"/>
          <w:lang w:val="en-US"/>
        </w:rPr>
        <w:t xml:space="preserve"> S, </w:t>
      </w:r>
      <w:proofErr w:type="spellStart"/>
      <w:r w:rsidRPr="000D6D3D">
        <w:rPr>
          <w:rFonts w:ascii="Times New Roman" w:hAnsi="Times New Roman" w:cs="Times New Roman"/>
          <w:color w:val="auto"/>
          <w:lang w:val="en-US"/>
        </w:rPr>
        <w:t>Gøtzsche</w:t>
      </w:r>
      <w:proofErr w:type="spellEnd"/>
      <w:r w:rsidRPr="000D6D3D">
        <w:rPr>
          <w:rFonts w:ascii="Times New Roman" w:hAnsi="Times New Roman" w:cs="Times New Roman"/>
          <w:color w:val="auto"/>
          <w:lang w:val="en-US"/>
        </w:rPr>
        <w:t xml:space="preserve"> P, </w:t>
      </w:r>
      <w:proofErr w:type="spellStart"/>
      <w:r w:rsidRPr="000D6D3D">
        <w:rPr>
          <w:rFonts w:ascii="Times New Roman" w:hAnsi="Times New Roman" w:cs="Times New Roman"/>
          <w:color w:val="auto"/>
          <w:lang w:val="en-US"/>
        </w:rPr>
        <w:t>Vandenbroucke</w:t>
      </w:r>
      <w:proofErr w:type="spellEnd"/>
      <w:r w:rsidRPr="000D6D3D">
        <w:rPr>
          <w:rFonts w:ascii="Times New Roman" w:hAnsi="Times New Roman" w:cs="Times New Roman"/>
          <w:color w:val="auto"/>
          <w:lang w:val="en-US"/>
        </w:rPr>
        <w:t xml:space="preserve"> JP. Strengthening the Reporting of Observational Studies in Epidemiology (STROBE) statement: guidelines for reporting observational studies. J </w:t>
      </w:r>
      <w:proofErr w:type="spellStart"/>
      <w:r w:rsidRPr="000D6D3D">
        <w:rPr>
          <w:rFonts w:ascii="Times New Roman" w:hAnsi="Times New Roman" w:cs="Times New Roman"/>
          <w:color w:val="auto"/>
          <w:lang w:val="en-US"/>
        </w:rPr>
        <w:t>Clin</w:t>
      </w:r>
      <w:proofErr w:type="spellEnd"/>
      <w:r w:rsidRPr="000D6D3D">
        <w:rPr>
          <w:rFonts w:ascii="Times New Roman" w:hAnsi="Times New Roman" w:cs="Times New Roman"/>
          <w:color w:val="auto"/>
          <w:lang w:val="en-US"/>
        </w:rPr>
        <w:t xml:space="preserve"> </w:t>
      </w:r>
      <w:proofErr w:type="spellStart"/>
      <w:r w:rsidRPr="000D6D3D">
        <w:rPr>
          <w:rFonts w:ascii="Times New Roman" w:hAnsi="Times New Roman" w:cs="Times New Roman"/>
          <w:color w:val="auto"/>
          <w:lang w:val="en-US"/>
        </w:rPr>
        <w:t>Epidemiol</w:t>
      </w:r>
      <w:proofErr w:type="spellEnd"/>
      <w:r w:rsidRPr="000D6D3D">
        <w:rPr>
          <w:rFonts w:ascii="Times New Roman" w:hAnsi="Times New Roman" w:cs="Times New Roman"/>
          <w:color w:val="auto"/>
          <w:lang w:val="en-US"/>
        </w:rPr>
        <w:t xml:space="preserve"> 2008; 61(4) 344-349.</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lang w:val="en-US"/>
        </w:rPr>
        <w:t xml:space="preserve">[19] </w:t>
      </w:r>
      <w:proofErr w:type="spellStart"/>
      <w:r w:rsidRPr="000D6D3D">
        <w:rPr>
          <w:rFonts w:ascii="Times New Roman" w:hAnsi="Times New Roman" w:cs="Times New Roman"/>
          <w:color w:val="auto"/>
          <w:shd w:val="clear" w:color="auto" w:fill="FFFFFF"/>
          <w:lang w:val="en-US"/>
        </w:rPr>
        <w:t>LiverTox</w:t>
      </w:r>
      <w:proofErr w:type="spellEnd"/>
      <w:r w:rsidRPr="000D6D3D">
        <w:rPr>
          <w:rFonts w:ascii="Times New Roman" w:hAnsi="Times New Roman" w:cs="Times New Roman"/>
          <w:color w:val="auto"/>
          <w:shd w:val="clear" w:color="auto" w:fill="FFFFFF"/>
          <w:lang w:val="en-US"/>
        </w:rPr>
        <w:t>: Clinical and Research Information on Drug-Induced Liver Injury. Bethesda (MD): National Institute of Diabetes and Digestive and Kidney Diseases; Tocilizumab.</w:t>
      </w:r>
    </w:p>
    <w:p w:rsidR="00BE40B3" w:rsidRPr="000D6D3D" w:rsidRDefault="00BE40B3" w:rsidP="00BE40B3">
      <w:pPr>
        <w:pStyle w:val="Default"/>
        <w:spacing w:line="360" w:lineRule="auto"/>
        <w:rPr>
          <w:rStyle w:val="bkciteavail"/>
          <w:rFonts w:ascii="Times New Roman" w:hAnsi="Times New Roman"/>
          <w:color w:val="auto"/>
          <w:shd w:val="clear" w:color="auto" w:fill="FFFFFF"/>
        </w:rPr>
      </w:pPr>
      <w:r w:rsidRPr="000D6D3D">
        <w:rPr>
          <w:rStyle w:val="bkciteavail"/>
          <w:rFonts w:ascii="Times New Roman" w:hAnsi="Times New Roman"/>
          <w:color w:val="auto"/>
          <w:shd w:val="clear" w:color="auto" w:fill="FFFFFF"/>
        </w:rPr>
        <w:t xml:space="preserve">Disponible en: </w:t>
      </w:r>
      <w:hyperlink r:id="rId11" w:history="1">
        <w:r w:rsidRPr="000D6D3D">
          <w:rPr>
            <w:rStyle w:val="Hipervnculo"/>
            <w:rFonts w:ascii="Times New Roman" w:hAnsi="Times New Roman" w:cs="Times New Roman"/>
            <w:shd w:val="clear" w:color="auto" w:fill="FFFFFF"/>
          </w:rPr>
          <w:t>https://www.ncbi.nlm.nih.gov/books/NBK548243/</w:t>
        </w:r>
      </w:hyperlink>
      <w:r w:rsidRPr="000D6D3D">
        <w:rPr>
          <w:rFonts w:ascii="Times New Roman" w:hAnsi="Times New Roman" w:cs="Times New Roman"/>
          <w:color w:val="auto"/>
          <w:shd w:val="clear" w:color="auto" w:fill="FFFFFF"/>
        </w:rPr>
        <w:t xml:space="preserve">  [Consultado el 09 de Noviembre de 2020].</w:t>
      </w:r>
    </w:p>
    <w:p w:rsidR="00BE40B3" w:rsidRPr="000D6D3D" w:rsidRDefault="00BE40B3" w:rsidP="00BE40B3">
      <w:pPr>
        <w:pStyle w:val="Default"/>
        <w:spacing w:line="360" w:lineRule="auto"/>
        <w:rPr>
          <w:rFonts w:ascii="Times New Roman" w:hAnsi="Times New Roman" w:cs="Times New Roman"/>
          <w:color w:val="auto"/>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lang w:val="en-US"/>
        </w:rPr>
        <w:t xml:space="preserve">[20] </w:t>
      </w:r>
      <w:proofErr w:type="spellStart"/>
      <w:r w:rsidRPr="000D6D3D">
        <w:rPr>
          <w:rFonts w:ascii="Times New Roman" w:hAnsi="Times New Roman" w:cs="Times New Roman"/>
          <w:color w:val="auto"/>
          <w:shd w:val="clear" w:color="auto" w:fill="FFFFFF"/>
          <w:lang w:val="en-US"/>
        </w:rPr>
        <w:t>Morena</w:t>
      </w:r>
      <w:proofErr w:type="spellEnd"/>
      <w:r w:rsidRPr="000D6D3D">
        <w:rPr>
          <w:rFonts w:ascii="Times New Roman" w:hAnsi="Times New Roman" w:cs="Times New Roman"/>
          <w:color w:val="auto"/>
          <w:shd w:val="clear" w:color="auto" w:fill="FFFFFF"/>
          <w:lang w:val="en-US"/>
        </w:rPr>
        <w:t xml:space="preserve"> V, </w:t>
      </w:r>
      <w:proofErr w:type="spellStart"/>
      <w:r w:rsidRPr="000D6D3D">
        <w:rPr>
          <w:rFonts w:ascii="Times New Roman" w:hAnsi="Times New Roman" w:cs="Times New Roman"/>
          <w:color w:val="auto"/>
          <w:shd w:val="clear" w:color="auto" w:fill="FFFFFF"/>
          <w:lang w:val="en-US"/>
        </w:rPr>
        <w:t>Milazzo</w:t>
      </w:r>
      <w:proofErr w:type="spellEnd"/>
      <w:r w:rsidRPr="000D6D3D">
        <w:rPr>
          <w:rFonts w:ascii="Times New Roman" w:hAnsi="Times New Roman" w:cs="Times New Roman"/>
          <w:color w:val="auto"/>
          <w:shd w:val="clear" w:color="auto" w:fill="FFFFFF"/>
          <w:lang w:val="en-US"/>
        </w:rPr>
        <w:t xml:space="preserve"> L, </w:t>
      </w:r>
      <w:proofErr w:type="spellStart"/>
      <w:r w:rsidRPr="000D6D3D">
        <w:rPr>
          <w:rFonts w:ascii="Times New Roman" w:hAnsi="Times New Roman" w:cs="Times New Roman"/>
          <w:color w:val="auto"/>
          <w:shd w:val="clear" w:color="auto" w:fill="FFFFFF"/>
          <w:lang w:val="en-US"/>
        </w:rPr>
        <w:t>Oreni</w:t>
      </w:r>
      <w:proofErr w:type="spellEnd"/>
      <w:r w:rsidRPr="000D6D3D">
        <w:rPr>
          <w:rFonts w:ascii="Times New Roman" w:hAnsi="Times New Roman" w:cs="Times New Roman"/>
          <w:color w:val="auto"/>
          <w:shd w:val="clear" w:color="auto" w:fill="FFFFFF"/>
          <w:lang w:val="en-US"/>
        </w:rPr>
        <w:t xml:space="preserve"> L, </w:t>
      </w:r>
      <w:proofErr w:type="spellStart"/>
      <w:r w:rsidRPr="000D6D3D">
        <w:rPr>
          <w:rFonts w:ascii="Times New Roman" w:hAnsi="Times New Roman" w:cs="Times New Roman"/>
          <w:color w:val="auto"/>
          <w:shd w:val="clear" w:color="auto" w:fill="FFFFFF"/>
          <w:lang w:val="en-US"/>
        </w:rPr>
        <w:t>Bestetti</w:t>
      </w:r>
      <w:proofErr w:type="spellEnd"/>
      <w:r w:rsidRPr="000D6D3D">
        <w:rPr>
          <w:rFonts w:ascii="Times New Roman" w:hAnsi="Times New Roman" w:cs="Times New Roman"/>
          <w:color w:val="auto"/>
          <w:shd w:val="clear" w:color="auto" w:fill="FFFFFF"/>
          <w:lang w:val="en-US"/>
        </w:rPr>
        <w:t xml:space="preserve"> G, </w:t>
      </w:r>
      <w:proofErr w:type="spellStart"/>
      <w:r w:rsidRPr="000D6D3D">
        <w:rPr>
          <w:rFonts w:ascii="Times New Roman" w:hAnsi="Times New Roman" w:cs="Times New Roman"/>
          <w:color w:val="auto"/>
          <w:shd w:val="clear" w:color="auto" w:fill="FFFFFF"/>
          <w:lang w:val="en-US"/>
        </w:rPr>
        <w:t>Fossali</w:t>
      </w:r>
      <w:proofErr w:type="spellEnd"/>
      <w:r w:rsidRPr="000D6D3D">
        <w:rPr>
          <w:rFonts w:ascii="Times New Roman" w:hAnsi="Times New Roman" w:cs="Times New Roman"/>
          <w:color w:val="auto"/>
          <w:shd w:val="clear" w:color="auto" w:fill="FFFFFF"/>
          <w:lang w:val="en-US"/>
        </w:rPr>
        <w:t xml:space="preserve"> T, </w:t>
      </w:r>
      <w:proofErr w:type="spellStart"/>
      <w:r w:rsidRPr="000D6D3D">
        <w:rPr>
          <w:rFonts w:ascii="Times New Roman" w:hAnsi="Times New Roman" w:cs="Times New Roman"/>
          <w:color w:val="auto"/>
          <w:shd w:val="clear" w:color="auto" w:fill="FFFFFF"/>
          <w:lang w:val="en-US"/>
        </w:rPr>
        <w:t>Bassoli</w:t>
      </w:r>
      <w:proofErr w:type="spellEnd"/>
      <w:r w:rsidRPr="000D6D3D">
        <w:rPr>
          <w:rFonts w:ascii="Times New Roman" w:hAnsi="Times New Roman" w:cs="Times New Roman"/>
          <w:color w:val="auto"/>
          <w:shd w:val="clear" w:color="auto" w:fill="FFFFFF"/>
          <w:lang w:val="en-US"/>
        </w:rPr>
        <w:t xml:space="preserve"> C, et al. Off-label use of tocilizumab for the treatment of SARS-CoV-2 pneumonia in Milan, Italy. </w:t>
      </w:r>
      <w:proofErr w:type="spellStart"/>
      <w:r w:rsidRPr="000D6D3D">
        <w:rPr>
          <w:rFonts w:ascii="Times New Roman" w:hAnsi="Times New Roman" w:cs="Times New Roman"/>
          <w:iCs/>
          <w:color w:val="auto"/>
          <w:shd w:val="clear" w:color="auto" w:fill="FFFFFF"/>
          <w:lang w:val="en-US"/>
        </w:rPr>
        <w:t>Eur</w:t>
      </w:r>
      <w:proofErr w:type="spellEnd"/>
      <w:r w:rsidRPr="000D6D3D">
        <w:rPr>
          <w:rFonts w:ascii="Times New Roman" w:hAnsi="Times New Roman" w:cs="Times New Roman"/>
          <w:iCs/>
          <w:color w:val="auto"/>
          <w:shd w:val="clear" w:color="auto" w:fill="FFFFFF"/>
          <w:lang w:val="en-US"/>
        </w:rPr>
        <w:t xml:space="preserve"> J Intern Med 2020</w:t>
      </w:r>
      <w:r w:rsidRPr="000D6D3D">
        <w:rPr>
          <w:rFonts w:ascii="Times New Roman" w:hAnsi="Times New Roman" w:cs="Times New Roman"/>
          <w:color w:val="auto"/>
          <w:shd w:val="clear" w:color="auto" w:fill="FFFFFF"/>
          <w:lang w:val="en-US"/>
        </w:rPr>
        <w:t>; </w:t>
      </w:r>
      <w:r w:rsidRPr="000D6D3D">
        <w:rPr>
          <w:rFonts w:ascii="Times New Roman" w:hAnsi="Times New Roman" w:cs="Times New Roman"/>
          <w:iCs/>
          <w:color w:val="auto"/>
          <w:shd w:val="clear" w:color="auto" w:fill="FFFFFF"/>
          <w:lang w:val="en-US"/>
        </w:rPr>
        <w:t>76</w:t>
      </w:r>
      <w:r w:rsidRPr="000D6D3D">
        <w:rPr>
          <w:rFonts w:ascii="Times New Roman" w:hAnsi="Times New Roman" w:cs="Times New Roman"/>
          <w:color w:val="auto"/>
          <w:shd w:val="clear" w:color="auto" w:fill="FFFFFF"/>
          <w:lang w:val="en-US"/>
        </w:rPr>
        <w:t xml:space="preserve">: 36–42. </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shd w:val="clear" w:color="auto" w:fill="FFFFFF"/>
          <w:lang w:val="en-US"/>
        </w:rPr>
        <w:t xml:space="preserve">[21] Lo G, </w:t>
      </w:r>
      <w:proofErr w:type="spellStart"/>
      <w:r w:rsidRPr="000D6D3D">
        <w:rPr>
          <w:rFonts w:ascii="Times New Roman" w:hAnsi="Times New Roman" w:cs="Times New Roman"/>
          <w:color w:val="auto"/>
          <w:shd w:val="clear" w:color="auto" w:fill="FFFFFF"/>
          <w:lang w:val="en-US"/>
        </w:rPr>
        <w:t>Juhl</w:t>
      </w:r>
      <w:proofErr w:type="spellEnd"/>
      <w:r w:rsidRPr="000D6D3D">
        <w:rPr>
          <w:rFonts w:ascii="Times New Roman" w:hAnsi="Times New Roman" w:cs="Times New Roman"/>
          <w:color w:val="auto"/>
          <w:shd w:val="clear" w:color="auto" w:fill="FFFFFF"/>
          <w:lang w:val="en-US"/>
        </w:rPr>
        <w:t xml:space="preserve"> D, </w:t>
      </w:r>
      <w:proofErr w:type="spellStart"/>
      <w:r w:rsidRPr="000D6D3D">
        <w:rPr>
          <w:rFonts w:ascii="Times New Roman" w:hAnsi="Times New Roman" w:cs="Times New Roman"/>
          <w:color w:val="auto"/>
          <w:shd w:val="clear" w:color="auto" w:fill="FFFFFF"/>
          <w:lang w:val="en-US"/>
        </w:rPr>
        <w:t>Warkentin</w:t>
      </w:r>
      <w:proofErr w:type="spellEnd"/>
      <w:r w:rsidRPr="000D6D3D">
        <w:rPr>
          <w:rFonts w:ascii="Times New Roman" w:hAnsi="Times New Roman" w:cs="Times New Roman"/>
          <w:color w:val="auto"/>
          <w:shd w:val="clear" w:color="auto" w:fill="FFFFFF"/>
          <w:lang w:val="en-US"/>
        </w:rPr>
        <w:t xml:space="preserve"> T, </w:t>
      </w:r>
      <w:proofErr w:type="spellStart"/>
      <w:r w:rsidRPr="000D6D3D">
        <w:rPr>
          <w:rFonts w:ascii="Times New Roman" w:hAnsi="Times New Roman" w:cs="Times New Roman"/>
          <w:color w:val="auto"/>
          <w:shd w:val="clear" w:color="auto" w:fill="FFFFFF"/>
          <w:lang w:val="en-US"/>
        </w:rPr>
        <w:t>Sigouin</w:t>
      </w:r>
      <w:proofErr w:type="spellEnd"/>
      <w:r w:rsidRPr="000D6D3D">
        <w:rPr>
          <w:rFonts w:ascii="Times New Roman" w:hAnsi="Times New Roman" w:cs="Times New Roman"/>
          <w:color w:val="auto"/>
          <w:shd w:val="clear" w:color="auto" w:fill="FFFFFF"/>
          <w:lang w:val="en-US"/>
        </w:rPr>
        <w:t xml:space="preserve"> C, </w:t>
      </w:r>
      <w:proofErr w:type="spellStart"/>
      <w:r w:rsidRPr="000D6D3D">
        <w:rPr>
          <w:rFonts w:ascii="Times New Roman" w:hAnsi="Times New Roman" w:cs="Times New Roman"/>
          <w:color w:val="auto"/>
          <w:shd w:val="clear" w:color="auto" w:fill="FFFFFF"/>
          <w:lang w:val="en-US"/>
        </w:rPr>
        <w:t>Eichler</w:t>
      </w:r>
      <w:proofErr w:type="spellEnd"/>
      <w:r w:rsidRPr="000D6D3D">
        <w:rPr>
          <w:rFonts w:ascii="Times New Roman" w:hAnsi="Times New Roman" w:cs="Times New Roman"/>
          <w:color w:val="auto"/>
          <w:shd w:val="clear" w:color="auto" w:fill="FFFFFF"/>
          <w:lang w:val="en-US"/>
        </w:rPr>
        <w:t xml:space="preserve"> P, </w:t>
      </w:r>
      <w:proofErr w:type="spellStart"/>
      <w:r w:rsidRPr="000D6D3D">
        <w:rPr>
          <w:rFonts w:ascii="Times New Roman" w:hAnsi="Times New Roman" w:cs="Times New Roman"/>
          <w:color w:val="auto"/>
          <w:shd w:val="clear" w:color="auto" w:fill="FFFFFF"/>
          <w:lang w:val="en-US"/>
        </w:rPr>
        <w:t>Greinacher</w:t>
      </w:r>
      <w:proofErr w:type="spellEnd"/>
      <w:r w:rsidRPr="000D6D3D">
        <w:rPr>
          <w:rFonts w:ascii="Times New Roman" w:hAnsi="Times New Roman" w:cs="Times New Roman"/>
          <w:color w:val="auto"/>
          <w:shd w:val="clear" w:color="auto" w:fill="FFFFFF"/>
          <w:lang w:val="en-US"/>
        </w:rPr>
        <w:t xml:space="preserve"> A. Evaluation of pretest clinical score (4 T's) for the diagnosis of heparin-induced thrombocytopenia in two clinical settings. J </w:t>
      </w:r>
      <w:proofErr w:type="spellStart"/>
      <w:r w:rsidRPr="000D6D3D">
        <w:rPr>
          <w:rFonts w:ascii="Times New Roman" w:hAnsi="Times New Roman" w:cs="Times New Roman"/>
          <w:color w:val="auto"/>
          <w:shd w:val="clear" w:color="auto" w:fill="FFFFFF"/>
          <w:lang w:val="en-US"/>
        </w:rPr>
        <w:t>Thromb</w:t>
      </w:r>
      <w:proofErr w:type="spellEnd"/>
      <w:r w:rsidRPr="000D6D3D">
        <w:rPr>
          <w:rFonts w:ascii="Times New Roman" w:hAnsi="Times New Roman" w:cs="Times New Roman"/>
          <w:color w:val="auto"/>
          <w:shd w:val="clear" w:color="auto" w:fill="FFFFFF"/>
          <w:lang w:val="en-US"/>
        </w:rPr>
        <w:t xml:space="preserve"> </w:t>
      </w:r>
      <w:proofErr w:type="spellStart"/>
      <w:r w:rsidRPr="000D6D3D">
        <w:rPr>
          <w:rFonts w:ascii="Times New Roman" w:hAnsi="Times New Roman" w:cs="Times New Roman"/>
          <w:color w:val="auto"/>
          <w:shd w:val="clear" w:color="auto" w:fill="FFFFFF"/>
          <w:lang w:val="en-US"/>
        </w:rPr>
        <w:t>Haemost</w:t>
      </w:r>
      <w:proofErr w:type="spellEnd"/>
      <w:r w:rsidRPr="000D6D3D">
        <w:rPr>
          <w:rFonts w:ascii="Times New Roman" w:hAnsi="Times New Roman" w:cs="Times New Roman"/>
          <w:color w:val="auto"/>
          <w:shd w:val="clear" w:color="auto" w:fill="FFFFFF"/>
          <w:lang w:val="en-US"/>
        </w:rPr>
        <w:t xml:space="preserve"> 2006; 4 (4): 759-757.</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shd w:val="clear" w:color="auto" w:fill="FFFFFF"/>
          <w:lang w:val="en-US"/>
        </w:rPr>
        <w:t xml:space="preserve">[22] </w:t>
      </w:r>
      <w:proofErr w:type="spellStart"/>
      <w:r w:rsidRPr="000D6D3D">
        <w:rPr>
          <w:rFonts w:ascii="Times New Roman" w:hAnsi="Times New Roman" w:cs="Times New Roman"/>
          <w:color w:val="auto"/>
          <w:shd w:val="clear" w:color="auto" w:fill="FFFFFF"/>
          <w:lang w:val="en-US"/>
        </w:rPr>
        <w:t>Kaser</w:t>
      </w:r>
      <w:proofErr w:type="spellEnd"/>
      <w:r w:rsidRPr="000D6D3D">
        <w:rPr>
          <w:rFonts w:ascii="Times New Roman" w:hAnsi="Times New Roman" w:cs="Times New Roman"/>
          <w:color w:val="auto"/>
          <w:shd w:val="clear" w:color="auto" w:fill="FFFFFF"/>
          <w:lang w:val="en-US"/>
        </w:rPr>
        <w:t xml:space="preserve"> A, </w:t>
      </w:r>
      <w:proofErr w:type="spellStart"/>
      <w:r w:rsidRPr="000D6D3D">
        <w:rPr>
          <w:rFonts w:ascii="Times New Roman" w:hAnsi="Times New Roman" w:cs="Times New Roman"/>
          <w:color w:val="auto"/>
          <w:shd w:val="clear" w:color="auto" w:fill="FFFFFF"/>
          <w:lang w:val="en-US"/>
        </w:rPr>
        <w:t>Brandacher</w:t>
      </w:r>
      <w:proofErr w:type="spellEnd"/>
      <w:r w:rsidRPr="000D6D3D">
        <w:rPr>
          <w:rFonts w:ascii="Times New Roman" w:hAnsi="Times New Roman" w:cs="Times New Roman"/>
          <w:color w:val="auto"/>
          <w:shd w:val="clear" w:color="auto" w:fill="FFFFFF"/>
          <w:lang w:val="en-US"/>
        </w:rPr>
        <w:t xml:space="preserve"> G, </w:t>
      </w:r>
      <w:proofErr w:type="spellStart"/>
      <w:r w:rsidRPr="000D6D3D">
        <w:rPr>
          <w:rFonts w:ascii="Times New Roman" w:hAnsi="Times New Roman" w:cs="Times New Roman"/>
          <w:color w:val="auto"/>
          <w:shd w:val="clear" w:color="auto" w:fill="FFFFFF"/>
          <w:lang w:val="en-US"/>
        </w:rPr>
        <w:t>Steurer</w:t>
      </w:r>
      <w:proofErr w:type="spellEnd"/>
      <w:r w:rsidRPr="000D6D3D">
        <w:rPr>
          <w:rFonts w:ascii="Times New Roman" w:hAnsi="Times New Roman" w:cs="Times New Roman"/>
          <w:color w:val="auto"/>
          <w:shd w:val="clear" w:color="auto" w:fill="FFFFFF"/>
          <w:lang w:val="en-US"/>
        </w:rPr>
        <w:t xml:space="preserve"> W, </w:t>
      </w:r>
      <w:proofErr w:type="spellStart"/>
      <w:r w:rsidRPr="000D6D3D">
        <w:rPr>
          <w:rFonts w:ascii="Times New Roman" w:hAnsi="Times New Roman" w:cs="Times New Roman"/>
          <w:color w:val="auto"/>
          <w:shd w:val="clear" w:color="auto" w:fill="FFFFFF"/>
          <w:lang w:val="en-US"/>
        </w:rPr>
        <w:t>Kaser</w:t>
      </w:r>
      <w:proofErr w:type="spellEnd"/>
      <w:r w:rsidRPr="000D6D3D">
        <w:rPr>
          <w:rFonts w:ascii="Times New Roman" w:hAnsi="Times New Roman" w:cs="Times New Roman"/>
          <w:color w:val="auto"/>
          <w:shd w:val="clear" w:color="auto" w:fill="FFFFFF"/>
          <w:lang w:val="en-US"/>
        </w:rPr>
        <w:t xml:space="preserve"> S, </w:t>
      </w:r>
      <w:proofErr w:type="spellStart"/>
      <w:r w:rsidRPr="000D6D3D">
        <w:rPr>
          <w:rFonts w:ascii="Times New Roman" w:hAnsi="Times New Roman" w:cs="Times New Roman"/>
          <w:color w:val="auto"/>
          <w:shd w:val="clear" w:color="auto" w:fill="FFFFFF"/>
          <w:lang w:val="en-US"/>
        </w:rPr>
        <w:t>Offner</w:t>
      </w:r>
      <w:proofErr w:type="spellEnd"/>
      <w:r w:rsidRPr="000D6D3D">
        <w:rPr>
          <w:rFonts w:ascii="Times New Roman" w:hAnsi="Times New Roman" w:cs="Times New Roman"/>
          <w:color w:val="auto"/>
          <w:shd w:val="clear" w:color="auto" w:fill="FFFFFF"/>
          <w:lang w:val="en-US"/>
        </w:rPr>
        <w:t xml:space="preserve"> F, </w:t>
      </w:r>
      <w:proofErr w:type="spellStart"/>
      <w:r w:rsidRPr="000D6D3D">
        <w:rPr>
          <w:rFonts w:ascii="Times New Roman" w:hAnsi="Times New Roman" w:cs="Times New Roman"/>
          <w:color w:val="auto"/>
          <w:shd w:val="clear" w:color="auto" w:fill="FFFFFF"/>
          <w:lang w:val="en-US"/>
        </w:rPr>
        <w:t>Zoller</w:t>
      </w:r>
      <w:proofErr w:type="spellEnd"/>
      <w:r w:rsidRPr="000D6D3D">
        <w:rPr>
          <w:rFonts w:ascii="Times New Roman" w:hAnsi="Times New Roman" w:cs="Times New Roman"/>
          <w:color w:val="auto"/>
          <w:shd w:val="clear" w:color="auto" w:fill="FFFFFF"/>
          <w:lang w:val="en-US"/>
        </w:rPr>
        <w:t xml:space="preserve"> H, et al. Interleukin-6 stimulates </w:t>
      </w:r>
      <w:proofErr w:type="spellStart"/>
      <w:r w:rsidRPr="000D6D3D">
        <w:rPr>
          <w:rFonts w:ascii="Times New Roman" w:hAnsi="Times New Roman" w:cs="Times New Roman"/>
          <w:color w:val="auto"/>
          <w:shd w:val="clear" w:color="auto" w:fill="FFFFFF"/>
          <w:lang w:val="en-US"/>
        </w:rPr>
        <w:t>thrombopoiesis</w:t>
      </w:r>
      <w:proofErr w:type="spellEnd"/>
      <w:r w:rsidRPr="000D6D3D">
        <w:rPr>
          <w:rFonts w:ascii="Times New Roman" w:hAnsi="Times New Roman" w:cs="Times New Roman"/>
          <w:color w:val="auto"/>
          <w:shd w:val="clear" w:color="auto" w:fill="FFFFFF"/>
          <w:lang w:val="en-US"/>
        </w:rPr>
        <w:t xml:space="preserve"> through </w:t>
      </w:r>
      <w:proofErr w:type="spellStart"/>
      <w:r w:rsidRPr="000D6D3D">
        <w:rPr>
          <w:rFonts w:ascii="Times New Roman" w:hAnsi="Times New Roman" w:cs="Times New Roman"/>
          <w:color w:val="auto"/>
          <w:shd w:val="clear" w:color="auto" w:fill="FFFFFF"/>
          <w:lang w:val="en-US"/>
        </w:rPr>
        <w:t>thrombopoietin</w:t>
      </w:r>
      <w:proofErr w:type="spellEnd"/>
      <w:r w:rsidRPr="000D6D3D">
        <w:rPr>
          <w:rFonts w:ascii="Times New Roman" w:hAnsi="Times New Roman" w:cs="Times New Roman"/>
          <w:color w:val="auto"/>
          <w:shd w:val="clear" w:color="auto" w:fill="FFFFFF"/>
          <w:lang w:val="en-US"/>
        </w:rPr>
        <w:t>: role in inflammatory thrombocytosis. </w:t>
      </w:r>
      <w:r w:rsidRPr="000D6D3D">
        <w:rPr>
          <w:rFonts w:ascii="Times New Roman" w:hAnsi="Times New Roman" w:cs="Times New Roman"/>
          <w:iCs/>
          <w:color w:val="auto"/>
          <w:shd w:val="clear" w:color="auto" w:fill="FFFFFF"/>
          <w:lang w:val="en-US"/>
        </w:rPr>
        <w:t>Blood 2001</w:t>
      </w:r>
      <w:r w:rsidRPr="000D6D3D">
        <w:rPr>
          <w:rFonts w:ascii="Times New Roman" w:hAnsi="Times New Roman" w:cs="Times New Roman"/>
          <w:color w:val="auto"/>
          <w:shd w:val="clear" w:color="auto" w:fill="FFFFFF"/>
          <w:lang w:val="en-US"/>
        </w:rPr>
        <w:t>, </w:t>
      </w:r>
      <w:r w:rsidRPr="000D6D3D">
        <w:rPr>
          <w:rFonts w:ascii="Times New Roman" w:hAnsi="Times New Roman" w:cs="Times New Roman"/>
          <w:iCs/>
          <w:color w:val="auto"/>
          <w:shd w:val="clear" w:color="auto" w:fill="FFFFFF"/>
          <w:lang w:val="en-US"/>
        </w:rPr>
        <w:t>98</w:t>
      </w:r>
      <w:r w:rsidRPr="000D6D3D">
        <w:rPr>
          <w:rFonts w:ascii="Times New Roman" w:hAnsi="Times New Roman" w:cs="Times New Roman"/>
          <w:color w:val="auto"/>
          <w:shd w:val="clear" w:color="auto" w:fill="FFFFFF"/>
          <w:lang w:val="en-US"/>
        </w:rPr>
        <w:t>(9), 2720–2725.</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shd w:val="clear" w:color="auto" w:fill="FFFFFF"/>
          <w:lang w:val="en-US"/>
        </w:rPr>
        <w:t xml:space="preserve">[23] Lee J, </w:t>
      </w:r>
      <w:proofErr w:type="spellStart"/>
      <w:r w:rsidRPr="000D6D3D">
        <w:rPr>
          <w:rFonts w:ascii="Times New Roman" w:hAnsi="Times New Roman" w:cs="Times New Roman"/>
          <w:color w:val="auto"/>
          <w:shd w:val="clear" w:color="auto" w:fill="FFFFFF"/>
          <w:lang w:val="en-US"/>
        </w:rPr>
        <w:t>Seon</w:t>
      </w:r>
      <w:proofErr w:type="spellEnd"/>
      <w:r w:rsidRPr="000D6D3D">
        <w:rPr>
          <w:rFonts w:ascii="Times New Roman" w:hAnsi="Times New Roman" w:cs="Times New Roman"/>
          <w:color w:val="auto"/>
          <w:shd w:val="clear" w:color="auto" w:fill="FFFFFF"/>
          <w:lang w:val="en-US"/>
        </w:rPr>
        <w:t xml:space="preserve"> J, Hong S, Lee C, </w:t>
      </w:r>
      <w:proofErr w:type="spellStart"/>
      <w:r w:rsidRPr="000D6D3D">
        <w:rPr>
          <w:rFonts w:ascii="Times New Roman" w:hAnsi="Times New Roman" w:cs="Times New Roman"/>
          <w:color w:val="auto"/>
          <w:shd w:val="clear" w:color="auto" w:fill="FFFFFF"/>
          <w:lang w:val="en-US"/>
        </w:rPr>
        <w:t>Yoo</w:t>
      </w:r>
      <w:proofErr w:type="spellEnd"/>
      <w:r w:rsidRPr="000D6D3D">
        <w:rPr>
          <w:rFonts w:ascii="Times New Roman" w:hAnsi="Times New Roman" w:cs="Times New Roman"/>
          <w:color w:val="auto"/>
          <w:shd w:val="clear" w:color="auto" w:fill="FFFFFF"/>
          <w:lang w:val="en-US"/>
        </w:rPr>
        <w:t xml:space="preserve"> B, Kim Y. Tocilizumab-induced Thrombocytopenia in Patients with Rheumatoid Arthritis. J Rheum Dis 2019; 26(3): 186-190.</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spacing w:after="0" w:line="360" w:lineRule="auto"/>
        <w:rPr>
          <w:rFonts w:ascii="Times New Roman" w:hAnsi="Times New Roman" w:cs="Times New Roman"/>
          <w:sz w:val="24"/>
          <w:szCs w:val="24"/>
          <w:shd w:val="clear" w:color="auto" w:fill="FFFFFF"/>
          <w:lang w:val="en-US"/>
        </w:rPr>
      </w:pPr>
      <w:r w:rsidRPr="000D6D3D">
        <w:rPr>
          <w:rFonts w:ascii="Times New Roman" w:hAnsi="Times New Roman" w:cs="Times New Roman"/>
          <w:sz w:val="24"/>
          <w:szCs w:val="24"/>
          <w:shd w:val="clear" w:color="auto" w:fill="FFFFFF"/>
          <w:lang w:val="en-US"/>
        </w:rPr>
        <w:t>[24] Wright H, Cross A, Edwards S, Moots R. Effects of IL-6 and IL-6 blockade on neutrophil function in vitro and in vivo. </w:t>
      </w:r>
      <w:r w:rsidRPr="000D6D3D">
        <w:rPr>
          <w:rFonts w:ascii="Times New Roman" w:hAnsi="Times New Roman" w:cs="Times New Roman"/>
          <w:iCs/>
          <w:sz w:val="24"/>
          <w:szCs w:val="24"/>
          <w:shd w:val="clear" w:color="auto" w:fill="FFFFFF"/>
          <w:lang w:val="en-US"/>
        </w:rPr>
        <w:t>Rheumatology 2014</w:t>
      </w:r>
      <w:r w:rsidRPr="000D6D3D">
        <w:rPr>
          <w:rFonts w:ascii="Times New Roman" w:hAnsi="Times New Roman" w:cs="Times New Roman"/>
          <w:sz w:val="24"/>
          <w:szCs w:val="24"/>
          <w:shd w:val="clear" w:color="auto" w:fill="FFFFFF"/>
          <w:lang w:val="en-US"/>
        </w:rPr>
        <w:t>, </w:t>
      </w:r>
      <w:r w:rsidRPr="000D6D3D">
        <w:rPr>
          <w:rFonts w:ascii="Times New Roman" w:hAnsi="Times New Roman" w:cs="Times New Roman"/>
          <w:iCs/>
          <w:sz w:val="24"/>
          <w:szCs w:val="24"/>
          <w:shd w:val="clear" w:color="auto" w:fill="FFFFFF"/>
          <w:lang w:val="en-US"/>
        </w:rPr>
        <w:t>53</w:t>
      </w:r>
      <w:r w:rsidRPr="000D6D3D">
        <w:rPr>
          <w:rFonts w:ascii="Times New Roman" w:hAnsi="Times New Roman" w:cs="Times New Roman"/>
          <w:sz w:val="24"/>
          <w:szCs w:val="24"/>
          <w:shd w:val="clear" w:color="auto" w:fill="FFFFFF"/>
          <w:lang w:val="en-US"/>
        </w:rPr>
        <w:t xml:space="preserve">(7), 1321–1331. </w:t>
      </w:r>
    </w:p>
    <w:p w:rsidR="00BE40B3" w:rsidRPr="000D6D3D" w:rsidRDefault="00BE40B3" w:rsidP="00BE40B3">
      <w:pPr>
        <w:spacing w:after="0" w:line="360" w:lineRule="auto"/>
        <w:rPr>
          <w:rFonts w:ascii="Times New Roman" w:hAnsi="Times New Roman" w:cs="Times New Roman"/>
          <w:sz w:val="24"/>
          <w:szCs w:val="24"/>
          <w:shd w:val="clear" w:color="auto" w:fill="FFFFFF"/>
          <w:lang w:val="en-US"/>
        </w:rPr>
      </w:pPr>
    </w:p>
    <w:p w:rsidR="00BE40B3" w:rsidRPr="000D6D3D" w:rsidRDefault="00BE40B3" w:rsidP="00BE40B3">
      <w:pPr>
        <w:spacing w:after="0" w:line="360" w:lineRule="auto"/>
        <w:rPr>
          <w:rFonts w:ascii="Times New Roman" w:hAnsi="Times New Roman" w:cs="Times New Roman"/>
          <w:sz w:val="24"/>
          <w:szCs w:val="24"/>
          <w:shd w:val="clear" w:color="auto" w:fill="FFFFFF"/>
          <w:lang w:val="en-US"/>
        </w:rPr>
      </w:pPr>
      <w:r w:rsidRPr="000D6D3D">
        <w:rPr>
          <w:rFonts w:ascii="Times New Roman" w:hAnsi="Times New Roman" w:cs="Times New Roman"/>
          <w:sz w:val="24"/>
          <w:szCs w:val="24"/>
          <w:shd w:val="clear" w:color="auto" w:fill="FFFFFF"/>
          <w:lang w:val="en-US"/>
        </w:rPr>
        <w:t xml:space="preserve">[25] </w:t>
      </w:r>
      <w:proofErr w:type="spellStart"/>
      <w:r w:rsidRPr="000D6D3D">
        <w:rPr>
          <w:rFonts w:ascii="Times New Roman" w:hAnsi="Times New Roman" w:cs="Times New Roman"/>
          <w:sz w:val="24"/>
          <w:szCs w:val="24"/>
          <w:shd w:val="clear" w:color="auto" w:fill="FFFFFF"/>
          <w:lang w:val="en-US"/>
        </w:rPr>
        <w:t>Shovman</w:t>
      </w:r>
      <w:proofErr w:type="spellEnd"/>
      <w:r w:rsidRPr="000D6D3D">
        <w:rPr>
          <w:rFonts w:ascii="Times New Roman" w:hAnsi="Times New Roman" w:cs="Times New Roman"/>
          <w:sz w:val="24"/>
          <w:szCs w:val="24"/>
          <w:shd w:val="clear" w:color="auto" w:fill="FFFFFF"/>
          <w:lang w:val="en-US"/>
        </w:rPr>
        <w:t xml:space="preserve"> O, </w:t>
      </w:r>
      <w:proofErr w:type="spellStart"/>
      <w:r w:rsidRPr="000D6D3D">
        <w:rPr>
          <w:rFonts w:ascii="Times New Roman" w:hAnsi="Times New Roman" w:cs="Times New Roman"/>
          <w:sz w:val="24"/>
          <w:szCs w:val="24"/>
          <w:shd w:val="clear" w:color="auto" w:fill="FFFFFF"/>
          <w:lang w:val="en-US"/>
        </w:rPr>
        <w:t>Shoenfeld</w:t>
      </w:r>
      <w:proofErr w:type="spellEnd"/>
      <w:r w:rsidRPr="000D6D3D">
        <w:rPr>
          <w:rFonts w:ascii="Times New Roman" w:hAnsi="Times New Roman" w:cs="Times New Roman"/>
          <w:sz w:val="24"/>
          <w:szCs w:val="24"/>
          <w:shd w:val="clear" w:color="auto" w:fill="FFFFFF"/>
          <w:lang w:val="en-US"/>
        </w:rPr>
        <w:t xml:space="preserve"> Y, </w:t>
      </w:r>
      <w:proofErr w:type="spellStart"/>
      <w:r w:rsidRPr="000D6D3D">
        <w:rPr>
          <w:rFonts w:ascii="Times New Roman" w:hAnsi="Times New Roman" w:cs="Times New Roman"/>
          <w:sz w:val="24"/>
          <w:szCs w:val="24"/>
          <w:shd w:val="clear" w:color="auto" w:fill="FFFFFF"/>
          <w:lang w:val="en-US"/>
        </w:rPr>
        <w:t>Langevitz</w:t>
      </w:r>
      <w:proofErr w:type="spellEnd"/>
      <w:r w:rsidRPr="000D6D3D">
        <w:rPr>
          <w:rFonts w:ascii="Times New Roman" w:hAnsi="Times New Roman" w:cs="Times New Roman"/>
          <w:sz w:val="24"/>
          <w:szCs w:val="24"/>
          <w:shd w:val="clear" w:color="auto" w:fill="FFFFFF"/>
          <w:lang w:val="en-US"/>
        </w:rPr>
        <w:t xml:space="preserve"> P. Tocilizumab-induced neutropenia in rheumatoid arthritis patients with previous history of neutropenia: case series and review of literature. </w:t>
      </w:r>
      <w:proofErr w:type="spellStart"/>
      <w:r w:rsidRPr="000D6D3D">
        <w:rPr>
          <w:rFonts w:ascii="Times New Roman" w:hAnsi="Times New Roman" w:cs="Times New Roman"/>
          <w:sz w:val="24"/>
          <w:szCs w:val="24"/>
          <w:shd w:val="clear" w:color="auto" w:fill="FFFFFF"/>
          <w:lang w:val="en-US"/>
        </w:rPr>
        <w:t>Immunol</w:t>
      </w:r>
      <w:proofErr w:type="spellEnd"/>
      <w:r w:rsidRPr="000D6D3D">
        <w:rPr>
          <w:rFonts w:ascii="Times New Roman" w:hAnsi="Times New Roman" w:cs="Times New Roman"/>
          <w:sz w:val="24"/>
          <w:szCs w:val="24"/>
          <w:shd w:val="clear" w:color="auto" w:fill="FFFFFF"/>
          <w:lang w:val="en-US"/>
        </w:rPr>
        <w:t xml:space="preserve"> Res 2015; 61(1-2):164-8.</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color w:val="auto"/>
          <w:shd w:val="clear" w:color="auto" w:fill="FFFFFF"/>
          <w:lang w:val="en-US"/>
        </w:rPr>
        <w:t xml:space="preserve">[26] Somers E, </w:t>
      </w:r>
      <w:proofErr w:type="spellStart"/>
      <w:r w:rsidRPr="000D6D3D">
        <w:rPr>
          <w:rFonts w:ascii="Times New Roman" w:hAnsi="Times New Roman" w:cs="Times New Roman"/>
          <w:color w:val="auto"/>
          <w:shd w:val="clear" w:color="auto" w:fill="FFFFFF"/>
          <w:lang w:val="en-US"/>
        </w:rPr>
        <w:t>Eschenauer</w:t>
      </w:r>
      <w:proofErr w:type="spellEnd"/>
      <w:r w:rsidRPr="000D6D3D">
        <w:rPr>
          <w:rFonts w:ascii="Times New Roman" w:hAnsi="Times New Roman" w:cs="Times New Roman"/>
          <w:color w:val="auto"/>
          <w:shd w:val="clear" w:color="auto" w:fill="FFFFFF"/>
          <w:lang w:val="en-US"/>
        </w:rPr>
        <w:t xml:space="preserve"> G, </w:t>
      </w:r>
      <w:proofErr w:type="spellStart"/>
      <w:r w:rsidRPr="000D6D3D">
        <w:rPr>
          <w:rFonts w:ascii="Times New Roman" w:hAnsi="Times New Roman" w:cs="Times New Roman"/>
          <w:color w:val="auto"/>
          <w:shd w:val="clear" w:color="auto" w:fill="FFFFFF"/>
          <w:lang w:val="en-US"/>
        </w:rPr>
        <w:t>Troost</w:t>
      </w:r>
      <w:proofErr w:type="spellEnd"/>
      <w:r w:rsidRPr="000D6D3D">
        <w:rPr>
          <w:rFonts w:ascii="Times New Roman" w:hAnsi="Times New Roman" w:cs="Times New Roman"/>
          <w:color w:val="auto"/>
          <w:shd w:val="clear" w:color="auto" w:fill="FFFFFF"/>
          <w:lang w:val="en-US"/>
        </w:rPr>
        <w:t xml:space="preserve"> J, </w:t>
      </w:r>
      <w:proofErr w:type="spellStart"/>
      <w:r w:rsidRPr="000D6D3D">
        <w:rPr>
          <w:rFonts w:ascii="Times New Roman" w:hAnsi="Times New Roman" w:cs="Times New Roman"/>
          <w:color w:val="auto"/>
          <w:shd w:val="clear" w:color="auto" w:fill="FFFFFF"/>
          <w:lang w:val="en-US"/>
        </w:rPr>
        <w:t>Golob</w:t>
      </w:r>
      <w:proofErr w:type="spellEnd"/>
      <w:r w:rsidRPr="000D6D3D">
        <w:rPr>
          <w:rFonts w:ascii="Times New Roman" w:hAnsi="Times New Roman" w:cs="Times New Roman"/>
          <w:color w:val="auto"/>
          <w:shd w:val="clear" w:color="auto" w:fill="FFFFFF"/>
          <w:lang w:val="en-US"/>
        </w:rPr>
        <w:t xml:space="preserve"> J, Gandhi T, Wang L. Tocilizumab for treatment of mechanically ventilated patients with COVID-19. </w:t>
      </w:r>
      <w:proofErr w:type="spellStart"/>
      <w:r w:rsidRPr="000D6D3D">
        <w:rPr>
          <w:rFonts w:ascii="Times New Roman" w:hAnsi="Times New Roman" w:cs="Times New Roman"/>
          <w:color w:val="212121"/>
          <w:shd w:val="clear" w:color="auto" w:fill="FFFFFF"/>
          <w:lang w:val="en-US"/>
        </w:rPr>
        <w:t>Clin</w:t>
      </w:r>
      <w:proofErr w:type="spellEnd"/>
      <w:r w:rsidRPr="000D6D3D">
        <w:rPr>
          <w:rFonts w:ascii="Times New Roman" w:hAnsi="Times New Roman" w:cs="Times New Roman"/>
          <w:color w:val="212121"/>
          <w:shd w:val="clear" w:color="auto" w:fill="FFFFFF"/>
          <w:lang w:val="en-US"/>
        </w:rPr>
        <w:t xml:space="preserve"> Infect Dis 2021, 15</w:t>
      </w:r>
      <w:proofErr w:type="gramStart"/>
      <w:r w:rsidRPr="000D6D3D">
        <w:rPr>
          <w:rFonts w:ascii="Times New Roman" w:hAnsi="Times New Roman" w:cs="Times New Roman"/>
          <w:color w:val="212121"/>
          <w:shd w:val="clear" w:color="auto" w:fill="FFFFFF"/>
          <w:lang w:val="en-US"/>
        </w:rPr>
        <w:t>;73</w:t>
      </w:r>
      <w:proofErr w:type="gramEnd"/>
      <w:r w:rsidRPr="000D6D3D">
        <w:rPr>
          <w:rFonts w:ascii="Times New Roman" w:hAnsi="Times New Roman" w:cs="Times New Roman"/>
          <w:color w:val="212121"/>
          <w:shd w:val="clear" w:color="auto" w:fill="FFFFFF"/>
          <w:lang w:val="en-US"/>
        </w:rPr>
        <w:t>(2):e445-e454.</w:t>
      </w: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p>
    <w:p w:rsidR="00BE40B3" w:rsidRPr="000D6D3D" w:rsidRDefault="00BE40B3" w:rsidP="00BE40B3">
      <w:pPr>
        <w:pStyle w:val="Default"/>
        <w:spacing w:line="360" w:lineRule="auto"/>
        <w:rPr>
          <w:rFonts w:ascii="Times New Roman" w:hAnsi="Times New Roman" w:cs="Times New Roman"/>
          <w:color w:val="auto"/>
          <w:shd w:val="clear" w:color="auto" w:fill="FFFFFF"/>
          <w:lang w:val="en-US"/>
        </w:rPr>
      </w:pPr>
      <w:r w:rsidRPr="000D6D3D">
        <w:rPr>
          <w:rFonts w:ascii="Times New Roman" w:hAnsi="Times New Roman" w:cs="Times New Roman"/>
          <w:shd w:val="clear" w:color="auto" w:fill="FFFFFF"/>
          <w:lang w:val="en-US"/>
        </w:rPr>
        <w:t>[27] Xu X</w:t>
      </w:r>
      <w:r w:rsidRPr="000D6D3D">
        <w:rPr>
          <w:rFonts w:ascii="Times New Roman" w:hAnsi="Times New Roman" w:cs="Times New Roman"/>
          <w:color w:val="auto"/>
          <w:shd w:val="clear" w:color="auto" w:fill="FFFFFF"/>
          <w:lang w:val="en-US"/>
        </w:rPr>
        <w:t>, Han M, Li T, Sun W, Wang D, Fu B, et al. Effective treatment of severe COVID-19 patients with tocilizumab. </w:t>
      </w:r>
      <w:proofErr w:type="spellStart"/>
      <w:r w:rsidRPr="000D6D3D">
        <w:rPr>
          <w:rFonts w:ascii="Times New Roman" w:hAnsi="Times New Roman" w:cs="Times New Roman"/>
          <w:iCs/>
          <w:color w:val="auto"/>
          <w:shd w:val="clear" w:color="auto" w:fill="FFFFFF"/>
          <w:lang w:val="en-US"/>
        </w:rPr>
        <w:t>Proc</w:t>
      </w:r>
      <w:proofErr w:type="spellEnd"/>
      <w:r w:rsidRPr="000D6D3D">
        <w:rPr>
          <w:rFonts w:ascii="Times New Roman" w:hAnsi="Times New Roman" w:cs="Times New Roman"/>
          <w:iCs/>
          <w:color w:val="auto"/>
          <w:shd w:val="clear" w:color="auto" w:fill="FFFFFF"/>
          <w:lang w:val="en-US"/>
        </w:rPr>
        <w:t xml:space="preserve"> </w:t>
      </w:r>
      <w:proofErr w:type="spellStart"/>
      <w:r w:rsidRPr="000D6D3D">
        <w:rPr>
          <w:rFonts w:ascii="Times New Roman" w:hAnsi="Times New Roman" w:cs="Times New Roman"/>
          <w:iCs/>
          <w:color w:val="auto"/>
          <w:shd w:val="clear" w:color="auto" w:fill="FFFFFF"/>
          <w:lang w:val="en-US"/>
        </w:rPr>
        <w:t>Natl</w:t>
      </w:r>
      <w:proofErr w:type="spellEnd"/>
      <w:r w:rsidRPr="000D6D3D">
        <w:rPr>
          <w:rFonts w:ascii="Times New Roman" w:hAnsi="Times New Roman" w:cs="Times New Roman"/>
          <w:iCs/>
          <w:color w:val="auto"/>
          <w:shd w:val="clear" w:color="auto" w:fill="FFFFFF"/>
          <w:lang w:val="en-US"/>
        </w:rPr>
        <w:t xml:space="preserve"> </w:t>
      </w:r>
      <w:proofErr w:type="spellStart"/>
      <w:r w:rsidRPr="000D6D3D">
        <w:rPr>
          <w:rFonts w:ascii="Times New Roman" w:hAnsi="Times New Roman" w:cs="Times New Roman"/>
          <w:iCs/>
          <w:color w:val="auto"/>
          <w:shd w:val="clear" w:color="auto" w:fill="FFFFFF"/>
          <w:lang w:val="en-US"/>
        </w:rPr>
        <w:t>Acad</w:t>
      </w:r>
      <w:proofErr w:type="spellEnd"/>
      <w:r w:rsidRPr="000D6D3D">
        <w:rPr>
          <w:rFonts w:ascii="Times New Roman" w:hAnsi="Times New Roman" w:cs="Times New Roman"/>
          <w:iCs/>
          <w:color w:val="auto"/>
          <w:shd w:val="clear" w:color="auto" w:fill="FFFFFF"/>
          <w:lang w:val="en-US"/>
        </w:rPr>
        <w:t xml:space="preserve"> </w:t>
      </w:r>
      <w:proofErr w:type="spellStart"/>
      <w:r w:rsidRPr="000D6D3D">
        <w:rPr>
          <w:rFonts w:ascii="Times New Roman" w:hAnsi="Times New Roman" w:cs="Times New Roman"/>
          <w:iCs/>
          <w:color w:val="auto"/>
          <w:shd w:val="clear" w:color="auto" w:fill="FFFFFF"/>
          <w:lang w:val="en-US"/>
        </w:rPr>
        <w:t>Sci</w:t>
      </w:r>
      <w:proofErr w:type="spellEnd"/>
      <w:r w:rsidRPr="000D6D3D">
        <w:rPr>
          <w:rFonts w:ascii="Times New Roman" w:hAnsi="Times New Roman" w:cs="Times New Roman"/>
          <w:iCs/>
          <w:color w:val="auto"/>
          <w:shd w:val="clear" w:color="auto" w:fill="FFFFFF"/>
          <w:lang w:val="en-US"/>
        </w:rPr>
        <w:t xml:space="preserve"> USA 2020; 117 (20): 10970-10975.</w:t>
      </w:r>
    </w:p>
    <w:p w:rsidR="00BE40B3" w:rsidRPr="000D6D3D" w:rsidRDefault="00BE40B3" w:rsidP="00BE40B3">
      <w:pPr>
        <w:pStyle w:val="Default"/>
        <w:spacing w:line="360" w:lineRule="auto"/>
        <w:rPr>
          <w:rFonts w:ascii="Times New Roman" w:hAnsi="Times New Roman" w:cs="Times New Roman"/>
          <w:color w:val="auto"/>
          <w:lang w:val="en-US"/>
        </w:rPr>
      </w:pPr>
    </w:p>
    <w:p w:rsidR="00271C0E" w:rsidRPr="000D6D3D" w:rsidRDefault="00271C0E"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lang w:val="en-US"/>
        </w:rPr>
        <w:t xml:space="preserve">[28] </w:t>
      </w:r>
      <w:proofErr w:type="spellStart"/>
      <w:r w:rsidR="009F2325" w:rsidRPr="000D6D3D">
        <w:rPr>
          <w:rFonts w:ascii="Times New Roman" w:hAnsi="Times New Roman" w:cs="Times New Roman"/>
          <w:color w:val="212121"/>
          <w:shd w:val="clear" w:color="auto" w:fill="FFFFFF"/>
          <w:lang w:val="en-US"/>
        </w:rPr>
        <w:t>Lok</w:t>
      </w:r>
      <w:proofErr w:type="spellEnd"/>
      <w:r w:rsidR="009F2325" w:rsidRPr="000D6D3D">
        <w:rPr>
          <w:rFonts w:ascii="Times New Roman" w:hAnsi="Times New Roman" w:cs="Times New Roman"/>
          <w:color w:val="212121"/>
          <w:shd w:val="clear" w:color="auto" w:fill="FFFFFF"/>
          <w:lang w:val="en-US"/>
        </w:rPr>
        <w:t xml:space="preserve"> LSC, </w:t>
      </w:r>
      <w:proofErr w:type="spellStart"/>
      <w:r w:rsidR="009F2325" w:rsidRPr="000D6D3D">
        <w:rPr>
          <w:rFonts w:ascii="Times New Roman" w:hAnsi="Times New Roman" w:cs="Times New Roman"/>
          <w:color w:val="212121"/>
          <w:shd w:val="clear" w:color="auto" w:fill="FFFFFF"/>
          <w:lang w:val="en-US"/>
        </w:rPr>
        <w:t>Farahi</w:t>
      </w:r>
      <w:proofErr w:type="spellEnd"/>
      <w:r w:rsidR="009F2325" w:rsidRPr="000D6D3D">
        <w:rPr>
          <w:rFonts w:ascii="Times New Roman" w:hAnsi="Times New Roman" w:cs="Times New Roman"/>
          <w:color w:val="212121"/>
          <w:shd w:val="clear" w:color="auto" w:fill="FFFFFF"/>
          <w:lang w:val="en-US"/>
        </w:rPr>
        <w:t xml:space="preserve"> N, </w:t>
      </w:r>
      <w:proofErr w:type="spellStart"/>
      <w:r w:rsidR="009F2325" w:rsidRPr="000D6D3D">
        <w:rPr>
          <w:rFonts w:ascii="Times New Roman" w:hAnsi="Times New Roman" w:cs="Times New Roman"/>
          <w:color w:val="212121"/>
          <w:shd w:val="clear" w:color="auto" w:fill="FFFFFF"/>
          <w:lang w:val="en-US"/>
        </w:rPr>
        <w:t>Juss</w:t>
      </w:r>
      <w:proofErr w:type="spellEnd"/>
      <w:r w:rsidR="009F2325" w:rsidRPr="000D6D3D">
        <w:rPr>
          <w:rFonts w:ascii="Times New Roman" w:hAnsi="Times New Roman" w:cs="Times New Roman"/>
          <w:color w:val="212121"/>
          <w:shd w:val="clear" w:color="auto" w:fill="FFFFFF"/>
          <w:lang w:val="en-US"/>
        </w:rPr>
        <w:t xml:space="preserve"> JK, </w:t>
      </w:r>
      <w:proofErr w:type="spellStart"/>
      <w:r w:rsidR="009F2325" w:rsidRPr="000D6D3D">
        <w:rPr>
          <w:rFonts w:ascii="Times New Roman" w:hAnsi="Times New Roman" w:cs="Times New Roman"/>
          <w:color w:val="212121"/>
          <w:shd w:val="clear" w:color="auto" w:fill="FFFFFF"/>
          <w:lang w:val="en-US"/>
        </w:rPr>
        <w:t>Loutsios</w:t>
      </w:r>
      <w:proofErr w:type="spellEnd"/>
      <w:r w:rsidR="009F2325" w:rsidRPr="000D6D3D">
        <w:rPr>
          <w:rFonts w:ascii="Times New Roman" w:hAnsi="Times New Roman" w:cs="Times New Roman"/>
          <w:color w:val="212121"/>
          <w:shd w:val="clear" w:color="auto" w:fill="FFFFFF"/>
          <w:lang w:val="en-US"/>
        </w:rPr>
        <w:t xml:space="preserve"> C, Solanki CK, Peters AM, et al. Effects of tocilizumab on neutrophil function and kinetics. </w:t>
      </w:r>
      <w:proofErr w:type="spellStart"/>
      <w:r w:rsidR="009F2325" w:rsidRPr="000D6D3D">
        <w:rPr>
          <w:rFonts w:ascii="Times New Roman" w:hAnsi="Times New Roman" w:cs="Times New Roman"/>
          <w:color w:val="212121"/>
          <w:shd w:val="clear" w:color="auto" w:fill="FFFFFF"/>
          <w:lang w:val="en-US"/>
        </w:rPr>
        <w:t>Eur</w:t>
      </w:r>
      <w:proofErr w:type="spellEnd"/>
      <w:r w:rsidR="009F2325" w:rsidRPr="000D6D3D">
        <w:rPr>
          <w:rFonts w:ascii="Times New Roman" w:hAnsi="Times New Roman" w:cs="Times New Roman"/>
          <w:color w:val="212121"/>
          <w:shd w:val="clear" w:color="auto" w:fill="FFFFFF"/>
          <w:lang w:val="en-US"/>
        </w:rPr>
        <w:t xml:space="preserve"> J </w:t>
      </w:r>
      <w:proofErr w:type="spellStart"/>
      <w:r w:rsidR="009F2325" w:rsidRPr="000D6D3D">
        <w:rPr>
          <w:rFonts w:ascii="Times New Roman" w:hAnsi="Times New Roman" w:cs="Times New Roman"/>
          <w:color w:val="212121"/>
          <w:shd w:val="clear" w:color="auto" w:fill="FFFFFF"/>
          <w:lang w:val="en-US"/>
        </w:rPr>
        <w:t>Clin</w:t>
      </w:r>
      <w:proofErr w:type="spellEnd"/>
      <w:r w:rsidR="009F2325" w:rsidRPr="000D6D3D">
        <w:rPr>
          <w:rFonts w:ascii="Times New Roman" w:hAnsi="Times New Roman" w:cs="Times New Roman"/>
          <w:color w:val="212121"/>
          <w:shd w:val="clear" w:color="auto" w:fill="FFFFFF"/>
          <w:lang w:val="en-US"/>
        </w:rPr>
        <w:t xml:space="preserve"> Invest 2017 47(10):736-745.</w:t>
      </w:r>
    </w:p>
    <w:p w:rsidR="00271C0E" w:rsidRPr="000D6D3D" w:rsidRDefault="00271C0E" w:rsidP="00BE40B3">
      <w:pPr>
        <w:pStyle w:val="Default"/>
        <w:spacing w:line="360" w:lineRule="auto"/>
        <w:rPr>
          <w:rFonts w:ascii="Times New Roman" w:hAnsi="Times New Roman" w:cs="Times New Roman"/>
          <w:color w:val="auto"/>
          <w:lang w:val="en-US"/>
        </w:rPr>
      </w:pPr>
    </w:p>
    <w:p w:rsidR="00BE40B3" w:rsidRPr="000D6D3D" w:rsidRDefault="00BE40B3" w:rsidP="00BE40B3">
      <w:pPr>
        <w:pStyle w:val="Default"/>
        <w:spacing w:line="360" w:lineRule="auto"/>
        <w:rPr>
          <w:rFonts w:ascii="Times New Roman" w:hAnsi="Times New Roman" w:cs="Times New Roman"/>
          <w:color w:val="auto"/>
          <w:lang w:val="en-US"/>
        </w:rPr>
      </w:pPr>
      <w:r w:rsidRPr="000D6D3D">
        <w:rPr>
          <w:rFonts w:ascii="Times New Roman" w:hAnsi="Times New Roman" w:cs="Times New Roman"/>
          <w:color w:val="auto"/>
        </w:rPr>
        <w:t>[2</w:t>
      </w:r>
      <w:r w:rsidR="00271C0E" w:rsidRPr="000D6D3D">
        <w:rPr>
          <w:rFonts w:ascii="Times New Roman" w:hAnsi="Times New Roman" w:cs="Times New Roman"/>
          <w:color w:val="auto"/>
        </w:rPr>
        <w:t>9</w:t>
      </w:r>
      <w:r w:rsidRPr="000D6D3D">
        <w:rPr>
          <w:rFonts w:ascii="Times New Roman" w:hAnsi="Times New Roman" w:cs="Times New Roman"/>
          <w:color w:val="auto"/>
        </w:rPr>
        <w:t xml:space="preserve">] </w:t>
      </w:r>
      <w:proofErr w:type="spellStart"/>
      <w:r w:rsidRPr="000D6D3D">
        <w:rPr>
          <w:rFonts w:ascii="Times New Roman" w:hAnsi="Times New Roman" w:cs="Times New Roman"/>
          <w:color w:val="auto"/>
          <w:shd w:val="clear" w:color="auto" w:fill="FFFFFF"/>
        </w:rPr>
        <w:t>Cutolo</w:t>
      </w:r>
      <w:proofErr w:type="spellEnd"/>
      <w:r w:rsidRPr="000D6D3D">
        <w:rPr>
          <w:rFonts w:ascii="Times New Roman" w:hAnsi="Times New Roman" w:cs="Times New Roman"/>
          <w:color w:val="auto"/>
          <w:shd w:val="clear" w:color="auto" w:fill="FFFFFF"/>
        </w:rPr>
        <w:t xml:space="preserve"> M, </w:t>
      </w:r>
      <w:proofErr w:type="spellStart"/>
      <w:r w:rsidRPr="000D6D3D">
        <w:rPr>
          <w:rFonts w:ascii="Times New Roman" w:hAnsi="Times New Roman" w:cs="Times New Roman"/>
          <w:color w:val="auto"/>
          <w:shd w:val="clear" w:color="auto" w:fill="FFFFFF"/>
        </w:rPr>
        <w:t>Seriolo</w:t>
      </w:r>
      <w:proofErr w:type="spellEnd"/>
      <w:r w:rsidRPr="000D6D3D">
        <w:rPr>
          <w:rFonts w:ascii="Times New Roman" w:hAnsi="Times New Roman" w:cs="Times New Roman"/>
          <w:color w:val="auto"/>
          <w:shd w:val="clear" w:color="auto" w:fill="FFFFFF"/>
        </w:rPr>
        <w:t xml:space="preserve"> B, </w:t>
      </w:r>
      <w:proofErr w:type="spellStart"/>
      <w:r w:rsidRPr="000D6D3D">
        <w:rPr>
          <w:rFonts w:ascii="Times New Roman" w:hAnsi="Times New Roman" w:cs="Times New Roman"/>
          <w:color w:val="auto"/>
          <w:shd w:val="clear" w:color="auto" w:fill="FFFFFF"/>
        </w:rPr>
        <w:t>Pizzorni</w:t>
      </w:r>
      <w:proofErr w:type="spellEnd"/>
      <w:r w:rsidRPr="000D6D3D">
        <w:rPr>
          <w:rFonts w:ascii="Times New Roman" w:hAnsi="Times New Roman" w:cs="Times New Roman"/>
          <w:color w:val="auto"/>
          <w:shd w:val="clear" w:color="auto" w:fill="FFFFFF"/>
        </w:rPr>
        <w:t xml:space="preserve"> C, </w:t>
      </w:r>
      <w:proofErr w:type="spellStart"/>
      <w:r w:rsidRPr="000D6D3D">
        <w:rPr>
          <w:rFonts w:ascii="Times New Roman" w:hAnsi="Times New Roman" w:cs="Times New Roman"/>
          <w:color w:val="auto"/>
          <w:shd w:val="clear" w:color="auto" w:fill="FFFFFF"/>
        </w:rPr>
        <w:t>Secchi</w:t>
      </w:r>
      <w:proofErr w:type="spellEnd"/>
      <w:r w:rsidRPr="000D6D3D">
        <w:rPr>
          <w:rFonts w:ascii="Times New Roman" w:hAnsi="Times New Roman" w:cs="Times New Roman"/>
          <w:color w:val="auto"/>
          <w:shd w:val="clear" w:color="auto" w:fill="FFFFFF"/>
        </w:rPr>
        <w:t xml:space="preserve"> M, </w:t>
      </w:r>
      <w:proofErr w:type="spellStart"/>
      <w:r w:rsidRPr="000D6D3D">
        <w:rPr>
          <w:rFonts w:ascii="Times New Roman" w:hAnsi="Times New Roman" w:cs="Times New Roman"/>
          <w:color w:val="auto"/>
          <w:shd w:val="clear" w:color="auto" w:fill="FFFFFF"/>
        </w:rPr>
        <w:t>Soldano</w:t>
      </w:r>
      <w:proofErr w:type="spellEnd"/>
      <w:r w:rsidRPr="000D6D3D">
        <w:rPr>
          <w:rFonts w:ascii="Times New Roman" w:hAnsi="Times New Roman" w:cs="Times New Roman"/>
          <w:color w:val="auto"/>
          <w:shd w:val="clear" w:color="auto" w:fill="FFFFFF"/>
        </w:rPr>
        <w:t xml:space="preserve"> S, Paolino S, et al. </w:t>
      </w:r>
      <w:r w:rsidRPr="000D6D3D">
        <w:rPr>
          <w:rFonts w:ascii="Times New Roman" w:hAnsi="Times New Roman" w:cs="Times New Roman"/>
          <w:color w:val="auto"/>
          <w:shd w:val="clear" w:color="auto" w:fill="FFFFFF"/>
          <w:lang w:val="en-US"/>
        </w:rPr>
        <w:t xml:space="preserve">Use of glucocorticoids and risk </w:t>
      </w:r>
      <w:proofErr w:type="gramStart"/>
      <w:r w:rsidRPr="000D6D3D">
        <w:rPr>
          <w:rFonts w:ascii="Times New Roman" w:hAnsi="Times New Roman" w:cs="Times New Roman"/>
          <w:color w:val="auto"/>
          <w:shd w:val="clear" w:color="auto" w:fill="FFFFFF"/>
          <w:lang w:val="en-US"/>
        </w:rPr>
        <w:t>of  infections</w:t>
      </w:r>
      <w:proofErr w:type="gramEnd"/>
      <w:r w:rsidRPr="000D6D3D">
        <w:rPr>
          <w:rFonts w:ascii="Times New Roman" w:hAnsi="Times New Roman" w:cs="Times New Roman"/>
          <w:color w:val="auto"/>
          <w:shd w:val="clear" w:color="auto" w:fill="FFFFFF"/>
          <w:lang w:val="en-US"/>
        </w:rPr>
        <w:t>. </w:t>
      </w:r>
      <w:proofErr w:type="spellStart"/>
      <w:r w:rsidRPr="000D6D3D">
        <w:rPr>
          <w:rFonts w:ascii="Times New Roman" w:hAnsi="Times New Roman" w:cs="Times New Roman"/>
          <w:iCs/>
          <w:color w:val="auto"/>
          <w:shd w:val="clear" w:color="auto" w:fill="FFFFFF"/>
          <w:lang w:val="en-US"/>
        </w:rPr>
        <w:t>Autoimmun</w:t>
      </w:r>
      <w:proofErr w:type="spellEnd"/>
      <w:r w:rsidRPr="000D6D3D">
        <w:rPr>
          <w:rFonts w:ascii="Times New Roman" w:hAnsi="Times New Roman" w:cs="Times New Roman"/>
          <w:iCs/>
          <w:color w:val="auto"/>
          <w:shd w:val="clear" w:color="auto" w:fill="FFFFFF"/>
          <w:lang w:val="en-US"/>
        </w:rPr>
        <w:t xml:space="preserve"> Rev 2008; 8(2): 153-155.</w:t>
      </w:r>
    </w:p>
    <w:p w:rsidR="00BE40B3" w:rsidRPr="000D6D3D" w:rsidRDefault="00BE40B3" w:rsidP="00BE40B3">
      <w:pPr>
        <w:pStyle w:val="Default"/>
        <w:spacing w:line="360" w:lineRule="auto"/>
        <w:rPr>
          <w:rFonts w:ascii="Times New Roman" w:hAnsi="Times New Roman" w:cs="Times New Roman"/>
          <w:color w:val="auto"/>
          <w:lang w:val="en-US"/>
        </w:rPr>
      </w:pPr>
    </w:p>
    <w:p w:rsidR="00BE40B3" w:rsidRPr="00D538F2" w:rsidRDefault="00BE40B3" w:rsidP="00BE40B3">
      <w:pPr>
        <w:spacing w:after="0" w:line="360" w:lineRule="auto"/>
        <w:rPr>
          <w:rFonts w:ascii="Times New Roman" w:hAnsi="Times New Roman" w:cs="Times New Roman"/>
          <w:sz w:val="24"/>
          <w:szCs w:val="24"/>
          <w:lang w:val="es-ES"/>
        </w:rPr>
      </w:pPr>
      <w:r w:rsidRPr="000D6D3D">
        <w:rPr>
          <w:rFonts w:ascii="Times New Roman" w:hAnsi="Times New Roman" w:cs="Times New Roman"/>
          <w:sz w:val="24"/>
          <w:szCs w:val="24"/>
          <w:lang w:val="en-US"/>
        </w:rPr>
        <w:t>[</w:t>
      </w:r>
      <w:r w:rsidR="00271C0E" w:rsidRPr="000D6D3D">
        <w:rPr>
          <w:rFonts w:ascii="Times New Roman" w:hAnsi="Times New Roman" w:cs="Times New Roman"/>
          <w:sz w:val="24"/>
          <w:szCs w:val="24"/>
          <w:lang w:val="en-US"/>
        </w:rPr>
        <w:t>30</w:t>
      </w:r>
      <w:r w:rsidRPr="000D6D3D">
        <w:rPr>
          <w:rFonts w:ascii="Times New Roman" w:hAnsi="Times New Roman" w:cs="Times New Roman"/>
          <w:sz w:val="24"/>
          <w:szCs w:val="24"/>
          <w:lang w:val="en-US"/>
        </w:rPr>
        <w:t xml:space="preserve">] Pettit N, Nguyen C, </w:t>
      </w:r>
      <w:proofErr w:type="spellStart"/>
      <w:r w:rsidRPr="000D6D3D">
        <w:rPr>
          <w:rFonts w:ascii="Times New Roman" w:hAnsi="Times New Roman" w:cs="Times New Roman"/>
          <w:sz w:val="24"/>
          <w:szCs w:val="24"/>
          <w:lang w:val="en-US"/>
        </w:rPr>
        <w:t>Mutlu</w:t>
      </w:r>
      <w:proofErr w:type="spellEnd"/>
      <w:r w:rsidRPr="000D6D3D">
        <w:rPr>
          <w:rFonts w:ascii="Times New Roman" w:hAnsi="Times New Roman" w:cs="Times New Roman"/>
          <w:sz w:val="24"/>
          <w:szCs w:val="24"/>
          <w:lang w:val="en-US"/>
        </w:rPr>
        <w:t xml:space="preserve"> G, Wu D, </w:t>
      </w:r>
      <w:proofErr w:type="spellStart"/>
      <w:r w:rsidRPr="000D6D3D">
        <w:rPr>
          <w:rFonts w:ascii="Times New Roman" w:hAnsi="Times New Roman" w:cs="Times New Roman"/>
          <w:sz w:val="24"/>
          <w:szCs w:val="24"/>
          <w:lang w:val="en-US"/>
        </w:rPr>
        <w:t>Kimmig</w:t>
      </w:r>
      <w:proofErr w:type="spellEnd"/>
      <w:r w:rsidRPr="000D6D3D">
        <w:rPr>
          <w:rFonts w:ascii="Times New Roman" w:hAnsi="Times New Roman" w:cs="Times New Roman"/>
          <w:sz w:val="24"/>
          <w:szCs w:val="24"/>
          <w:lang w:val="en-US"/>
        </w:rPr>
        <w:t xml:space="preserve"> L, </w:t>
      </w:r>
      <w:proofErr w:type="spellStart"/>
      <w:r w:rsidRPr="000D6D3D">
        <w:rPr>
          <w:rFonts w:ascii="Times New Roman" w:hAnsi="Times New Roman" w:cs="Times New Roman"/>
          <w:sz w:val="24"/>
          <w:szCs w:val="24"/>
          <w:lang w:val="en-US"/>
        </w:rPr>
        <w:t>Pitrak</w:t>
      </w:r>
      <w:proofErr w:type="spellEnd"/>
      <w:r w:rsidRPr="000D6D3D">
        <w:rPr>
          <w:rFonts w:ascii="Times New Roman" w:hAnsi="Times New Roman" w:cs="Times New Roman"/>
          <w:sz w:val="24"/>
          <w:szCs w:val="24"/>
          <w:lang w:val="en-US"/>
        </w:rPr>
        <w:t xml:space="preserve"> D, et al. Late onset infectious complications and safety of tocilizumab in the management of COVID-19. </w:t>
      </w:r>
      <w:r w:rsidRPr="000D6D3D">
        <w:rPr>
          <w:rFonts w:ascii="Times New Roman" w:hAnsi="Times New Roman" w:cs="Times New Roman"/>
          <w:sz w:val="24"/>
          <w:szCs w:val="24"/>
        </w:rPr>
        <w:t xml:space="preserve">J </w:t>
      </w:r>
      <w:proofErr w:type="spellStart"/>
      <w:r w:rsidRPr="000D6D3D">
        <w:rPr>
          <w:rFonts w:ascii="Times New Roman" w:hAnsi="Times New Roman" w:cs="Times New Roman"/>
          <w:sz w:val="24"/>
          <w:szCs w:val="24"/>
        </w:rPr>
        <w:t>Med</w:t>
      </w:r>
      <w:proofErr w:type="spellEnd"/>
      <w:r w:rsidRPr="000D6D3D">
        <w:rPr>
          <w:rFonts w:ascii="Times New Roman" w:hAnsi="Times New Roman" w:cs="Times New Roman"/>
          <w:sz w:val="24"/>
          <w:szCs w:val="24"/>
        </w:rPr>
        <w:t xml:space="preserve"> Virol 2021; 93(3): 1459-1464.</w:t>
      </w:r>
    </w:p>
    <w:p w:rsidR="00E225AE" w:rsidRPr="00E225AE" w:rsidRDefault="00E225AE" w:rsidP="00BE40B3">
      <w:pPr>
        <w:pStyle w:val="Default"/>
        <w:spacing w:line="360" w:lineRule="auto"/>
        <w:rPr>
          <w:rFonts w:ascii="Times New Roman" w:hAnsi="Times New Roman" w:cs="Times New Roman"/>
        </w:rPr>
      </w:pPr>
    </w:p>
    <w:sectPr w:rsidR="00E225AE" w:rsidRPr="00E225AE" w:rsidSect="00F72625">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5678" w16cex:dateUtc="2021-04-16T04:19:00Z"/>
  <w16cex:commentExtensible w16cex:durableId="24235A29" w16cex:dateUtc="2021-04-16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72867" w16cid:durableId="24235678"/>
  <w16cid:commentId w16cid:paraId="203299AF" w16cid:durableId="24235A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B7C"/>
    <w:multiLevelType w:val="multilevel"/>
    <w:tmpl w:val="4B0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437FF"/>
    <w:multiLevelType w:val="hybridMultilevel"/>
    <w:tmpl w:val="05002E94"/>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4C25EEA"/>
    <w:multiLevelType w:val="hybridMultilevel"/>
    <w:tmpl w:val="F7563138"/>
    <w:lvl w:ilvl="0" w:tplc="FBE6503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8AD4749"/>
    <w:multiLevelType w:val="hybridMultilevel"/>
    <w:tmpl w:val="F8C089C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0F"/>
    <w:rsid w:val="00001873"/>
    <w:rsid w:val="00001965"/>
    <w:rsid w:val="00004274"/>
    <w:rsid w:val="00005E6A"/>
    <w:rsid w:val="00006948"/>
    <w:rsid w:val="000176D3"/>
    <w:rsid w:val="000211E9"/>
    <w:rsid w:val="000407E6"/>
    <w:rsid w:val="00043C8B"/>
    <w:rsid w:val="0005396D"/>
    <w:rsid w:val="00055EC7"/>
    <w:rsid w:val="00057CC0"/>
    <w:rsid w:val="0007315D"/>
    <w:rsid w:val="00076D63"/>
    <w:rsid w:val="00083FA5"/>
    <w:rsid w:val="00090AE8"/>
    <w:rsid w:val="000A7040"/>
    <w:rsid w:val="000C0C5B"/>
    <w:rsid w:val="000D4CD3"/>
    <w:rsid w:val="000D6D3D"/>
    <w:rsid w:val="000E1893"/>
    <w:rsid w:val="000E20CE"/>
    <w:rsid w:val="000E3E43"/>
    <w:rsid w:val="000F7C29"/>
    <w:rsid w:val="0010070C"/>
    <w:rsid w:val="00101ACD"/>
    <w:rsid w:val="00110A3A"/>
    <w:rsid w:val="001208B9"/>
    <w:rsid w:val="001276C7"/>
    <w:rsid w:val="001317CF"/>
    <w:rsid w:val="0013300F"/>
    <w:rsid w:val="0014240C"/>
    <w:rsid w:val="001436D4"/>
    <w:rsid w:val="0014424A"/>
    <w:rsid w:val="0015281A"/>
    <w:rsid w:val="0015332B"/>
    <w:rsid w:val="00153FF6"/>
    <w:rsid w:val="00154467"/>
    <w:rsid w:val="001579B0"/>
    <w:rsid w:val="00160A38"/>
    <w:rsid w:val="00161152"/>
    <w:rsid w:val="00163A8B"/>
    <w:rsid w:val="0016497E"/>
    <w:rsid w:val="00164D04"/>
    <w:rsid w:val="00173AB8"/>
    <w:rsid w:val="00176D56"/>
    <w:rsid w:val="00195C75"/>
    <w:rsid w:val="00196271"/>
    <w:rsid w:val="001B20FB"/>
    <w:rsid w:val="001B6542"/>
    <w:rsid w:val="001C1EB6"/>
    <w:rsid w:val="001C1F28"/>
    <w:rsid w:val="001C4193"/>
    <w:rsid w:val="001C4541"/>
    <w:rsid w:val="001D171A"/>
    <w:rsid w:val="001D60E4"/>
    <w:rsid w:val="001E068A"/>
    <w:rsid w:val="001E1ECA"/>
    <w:rsid w:val="001E67FC"/>
    <w:rsid w:val="0020454B"/>
    <w:rsid w:val="00220C62"/>
    <w:rsid w:val="00223F9F"/>
    <w:rsid w:val="0023529F"/>
    <w:rsid w:val="00240E13"/>
    <w:rsid w:val="00243B29"/>
    <w:rsid w:val="00252B81"/>
    <w:rsid w:val="00253945"/>
    <w:rsid w:val="00256FF6"/>
    <w:rsid w:val="00257D57"/>
    <w:rsid w:val="00271B7A"/>
    <w:rsid w:val="00271C0E"/>
    <w:rsid w:val="00284525"/>
    <w:rsid w:val="002A0BEB"/>
    <w:rsid w:val="002A4544"/>
    <w:rsid w:val="002A7725"/>
    <w:rsid w:val="002B2519"/>
    <w:rsid w:val="002B3ECF"/>
    <w:rsid w:val="002B6E39"/>
    <w:rsid w:val="002B7D71"/>
    <w:rsid w:val="002D5BE0"/>
    <w:rsid w:val="002D7C04"/>
    <w:rsid w:val="002F1908"/>
    <w:rsid w:val="00303C66"/>
    <w:rsid w:val="0031511A"/>
    <w:rsid w:val="00315C22"/>
    <w:rsid w:val="003210BF"/>
    <w:rsid w:val="003272C7"/>
    <w:rsid w:val="00331D7E"/>
    <w:rsid w:val="00332589"/>
    <w:rsid w:val="003413DD"/>
    <w:rsid w:val="003454D5"/>
    <w:rsid w:val="00352151"/>
    <w:rsid w:val="00355B4B"/>
    <w:rsid w:val="00356A49"/>
    <w:rsid w:val="00362A83"/>
    <w:rsid w:val="00364364"/>
    <w:rsid w:val="003664B8"/>
    <w:rsid w:val="00372542"/>
    <w:rsid w:val="00374146"/>
    <w:rsid w:val="00375C49"/>
    <w:rsid w:val="003808A2"/>
    <w:rsid w:val="00393104"/>
    <w:rsid w:val="003A279D"/>
    <w:rsid w:val="003C0122"/>
    <w:rsid w:val="003D7EEF"/>
    <w:rsid w:val="003E3FD8"/>
    <w:rsid w:val="003E43FE"/>
    <w:rsid w:val="003E7CC6"/>
    <w:rsid w:val="003F240E"/>
    <w:rsid w:val="003F2EFA"/>
    <w:rsid w:val="00404DE3"/>
    <w:rsid w:val="00421A94"/>
    <w:rsid w:val="00426433"/>
    <w:rsid w:val="0042766B"/>
    <w:rsid w:val="00430DE1"/>
    <w:rsid w:val="0043649E"/>
    <w:rsid w:val="00443C31"/>
    <w:rsid w:val="004449E9"/>
    <w:rsid w:val="004453D0"/>
    <w:rsid w:val="00450154"/>
    <w:rsid w:val="00473653"/>
    <w:rsid w:val="004747DB"/>
    <w:rsid w:val="00474F23"/>
    <w:rsid w:val="004759BB"/>
    <w:rsid w:val="0048286D"/>
    <w:rsid w:val="00486A87"/>
    <w:rsid w:val="00487378"/>
    <w:rsid w:val="004A7C79"/>
    <w:rsid w:val="004B0C8F"/>
    <w:rsid w:val="004C74D5"/>
    <w:rsid w:val="004D702D"/>
    <w:rsid w:val="004E3573"/>
    <w:rsid w:val="004F5E6A"/>
    <w:rsid w:val="004F676E"/>
    <w:rsid w:val="00505A61"/>
    <w:rsid w:val="005071F0"/>
    <w:rsid w:val="00507486"/>
    <w:rsid w:val="00524073"/>
    <w:rsid w:val="00525221"/>
    <w:rsid w:val="005328FE"/>
    <w:rsid w:val="005335DD"/>
    <w:rsid w:val="0054160C"/>
    <w:rsid w:val="00554030"/>
    <w:rsid w:val="0055617D"/>
    <w:rsid w:val="0055664B"/>
    <w:rsid w:val="00562634"/>
    <w:rsid w:val="00562797"/>
    <w:rsid w:val="0057047F"/>
    <w:rsid w:val="00572586"/>
    <w:rsid w:val="00573BB3"/>
    <w:rsid w:val="0058355D"/>
    <w:rsid w:val="00584D5B"/>
    <w:rsid w:val="005955EA"/>
    <w:rsid w:val="005A141F"/>
    <w:rsid w:val="005A48AB"/>
    <w:rsid w:val="005A7E19"/>
    <w:rsid w:val="005B3945"/>
    <w:rsid w:val="005D10B9"/>
    <w:rsid w:val="005D58D2"/>
    <w:rsid w:val="005E227E"/>
    <w:rsid w:val="005F05AF"/>
    <w:rsid w:val="00600702"/>
    <w:rsid w:val="006065E6"/>
    <w:rsid w:val="0061265C"/>
    <w:rsid w:val="00624A99"/>
    <w:rsid w:val="0064099D"/>
    <w:rsid w:val="00650481"/>
    <w:rsid w:val="00656EF8"/>
    <w:rsid w:val="006705D0"/>
    <w:rsid w:val="00671202"/>
    <w:rsid w:val="00673271"/>
    <w:rsid w:val="0067429E"/>
    <w:rsid w:val="00675C9B"/>
    <w:rsid w:val="006777D2"/>
    <w:rsid w:val="00684E70"/>
    <w:rsid w:val="006B025B"/>
    <w:rsid w:val="006B0DD9"/>
    <w:rsid w:val="006C5BBB"/>
    <w:rsid w:val="006D17D7"/>
    <w:rsid w:val="006D5195"/>
    <w:rsid w:val="006D7F63"/>
    <w:rsid w:val="007020EF"/>
    <w:rsid w:val="00702B71"/>
    <w:rsid w:val="007034DD"/>
    <w:rsid w:val="00721F4B"/>
    <w:rsid w:val="00721F77"/>
    <w:rsid w:val="00735F90"/>
    <w:rsid w:val="00743E5C"/>
    <w:rsid w:val="00745E99"/>
    <w:rsid w:val="007461E0"/>
    <w:rsid w:val="007529C8"/>
    <w:rsid w:val="00762B84"/>
    <w:rsid w:val="00767F59"/>
    <w:rsid w:val="00781194"/>
    <w:rsid w:val="00786948"/>
    <w:rsid w:val="007948D8"/>
    <w:rsid w:val="007A17C6"/>
    <w:rsid w:val="007B2804"/>
    <w:rsid w:val="007C3F2B"/>
    <w:rsid w:val="007E2143"/>
    <w:rsid w:val="007F0C50"/>
    <w:rsid w:val="00800196"/>
    <w:rsid w:val="008002EA"/>
    <w:rsid w:val="0080042E"/>
    <w:rsid w:val="00806837"/>
    <w:rsid w:val="0082168D"/>
    <w:rsid w:val="008362ED"/>
    <w:rsid w:val="00843C6A"/>
    <w:rsid w:val="008479D3"/>
    <w:rsid w:val="00854358"/>
    <w:rsid w:val="00860358"/>
    <w:rsid w:val="008740FB"/>
    <w:rsid w:val="00883B2B"/>
    <w:rsid w:val="00884405"/>
    <w:rsid w:val="0089113F"/>
    <w:rsid w:val="0089220A"/>
    <w:rsid w:val="008A0C97"/>
    <w:rsid w:val="008A34B9"/>
    <w:rsid w:val="008B0307"/>
    <w:rsid w:val="008B580F"/>
    <w:rsid w:val="008B7DBE"/>
    <w:rsid w:val="008C3CC1"/>
    <w:rsid w:val="008C739F"/>
    <w:rsid w:val="008C7DEB"/>
    <w:rsid w:val="008D0C90"/>
    <w:rsid w:val="008D49C0"/>
    <w:rsid w:val="008D5764"/>
    <w:rsid w:val="008D5E58"/>
    <w:rsid w:val="008E0E96"/>
    <w:rsid w:val="008E1C50"/>
    <w:rsid w:val="008E4147"/>
    <w:rsid w:val="008F1CC6"/>
    <w:rsid w:val="00910B05"/>
    <w:rsid w:val="00917A83"/>
    <w:rsid w:val="00927D53"/>
    <w:rsid w:val="00944A50"/>
    <w:rsid w:val="009464AB"/>
    <w:rsid w:val="00957794"/>
    <w:rsid w:val="0096070E"/>
    <w:rsid w:val="00962B21"/>
    <w:rsid w:val="00974F13"/>
    <w:rsid w:val="00982455"/>
    <w:rsid w:val="0099366F"/>
    <w:rsid w:val="009A1B8A"/>
    <w:rsid w:val="009B7E98"/>
    <w:rsid w:val="009C4054"/>
    <w:rsid w:val="009D6DB9"/>
    <w:rsid w:val="009E1A69"/>
    <w:rsid w:val="009F2325"/>
    <w:rsid w:val="00A023E9"/>
    <w:rsid w:val="00A15651"/>
    <w:rsid w:val="00A22B98"/>
    <w:rsid w:val="00A24E91"/>
    <w:rsid w:val="00A25948"/>
    <w:rsid w:val="00A36CD6"/>
    <w:rsid w:val="00A409E6"/>
    <w:rsid w:val="00A518EA"/>
    <w:rsid w:val="00A61CCC"/>
    <w:rsid w:val="00A6228D"/>
    <w:rsid w:val="00A7003C"/>
    <w:rsid w:val="00A73A70"/>
    <w:rsid w:val="00A82590"/>
    <w:rsid w:val="00A935CD"/>
    <w:rsid w:val="00AA0415"/>
    <w:rsid w:val="00AA57C4"/>
    <w:rsid w:val="00AB54BD"/>
    <w:rsid w:val="00AC3C07"/>
    <w:rsid w:val="00AD591F"/>
    <w:rsid w:val="00AF2E7F"/>
    <w:rsid w:val="00B012B8"/>
    <w:rsid w:val="00B116A8"/>
    <w:rsid w:val="00B122E0"/>
    <w:rsid w:val="00B27AD9"/>
    <w:rsid w:val="00B36BB8"/>
    <w:rsid w:val="00B37083"/>
    <w:rsid w:val="00B527DC"/>
    <w:rsid w:val="00B74297"/>
    <w:rsid w:val="00B75AE3"/>
    <w:rsid w:val="00B80313"/>
    <w:rsid w:val="00B82194"/>
    <w:rsid w:val="00B82C15"/>
    <w:rsid w:val="00B835F9"/>
    <w:rsid w:val="00B83F87"/>
    <w:rsid w:val="00BA0508"/>
    <w:rsid w:val="00BA1DD7"/>
    <w:rsid w:val="00BB006E"/>
    <w:rsid w:val="00BB0D0F"/>
    <w:rsid w:val="00BC3454"/>
    <w:rsid w:val="00BD0B3D"/>
    <w:rsid w:val="00BD3504"/>
    <w:rsid w:val="00BE40B3"/>
    <w:rsid w:val="00BF40F4"/>
    <w:rsid w:val="00C057AE"/>
    <w:rsid w:val="00C06794"/>
    <w:rsid w:val="00C1169A"/>
    <w:rsid w:val="00C148E1"/>
    <w:rsid w:val="00C15EEF"/>
    <w:rsid w:val="00C30975"/>
    <w:rsid w:val="00C41213"/>
    <w:rsid w:val="00C453EC"/>
    <w:rsid w:val="00C456AC"/>
    <w:rsid w:val="00C565BC"/>
    <w:rsid w:val="00C62FF3"/>
    <w:rsid w:val="00C630CF"/>
    <w:rsid w:val="00C65889"/>
    <w:rsid w:val="00C70BA1"/>
    <w:rsid w:val="00C76900"/>
    <w:rsid w:val="00CA53DE"/>
    <w:rsid w:val="00CB0E78"/>
    <w:rsid w:val="00CB128E"/>
    <w:rsid w:val="00CB4A71"/>
    <w:rsid w:val="00CC3487"/>
    <w:rsid w:val="00CC743D"/>
    <w:rsid w:val="00CC7AE9"/>
    <w:rsid w:val="00CF0B2C"/>
    <w:rsid w:val="00CF43A0"/>
    <w:rsid w:val="00CF561A"/>
    <w:rsid w:val="00CF6AC9"/>
    <w:rsid w:val="00CF774E"/>
    <w:rsid w:val="00D031FB"/>
    <w:rsid w:val="00D0788F"/>
    <w:rsid w:val="00D10C2E"/>
    <w:rsid w:val="00D24CA9"/>
    <w:rsid w:val="00D26148"/>
    <w:rsid w:val="00D26914"/>
    <w:rsid w:val="00D33959"/>
    <w:rsid w:val="00D34719"/>
    <w:rsid w:val="00D45AF0"/>
    <w:rsid w:val="00D538F2"/>
    <w:rsid w:val="00D5408E"/>
    <w:rsid w:val="00D5531B"/>
    <w:rsid w:val="00D64491"/>
    <w:rsid w:val="00D85DB2"/>
    <w:rsid w:val="00D97891"/>
    <w:rsid w:val="00DA38F0"/>
    <w:rsid w:val="00DA4108"/>
    <w:rsid w:val="00DA5F49"/>
    <w:rsid w:val="00DA6F39"/>
    <w:rsid w:val="00DC1890"/>
    <w:rsid w:val="00DD46D3"/>
    <w:rsid w:val="00DE664C"/>
    <w:rsid w:val="00DF4A4C"/>
    <w:rsid w:val="00E03FAA"/>
    <w:rsid w:val="00E06B3F"/>
    <w:rsid w:val="00E0799A"/>
    <w:rsid w:val="00E16434"/>
    <w:rsid w:val="00E16DAD"/>
    <w:rsid w:val="00E225AE"/>
    <w:rsid w:val="00E23F0E"/>
    <w:rsid w:val="00E268DF"/>
    <w:rsid w:val="00E26B6A"/>
    <w:rsid w:val="00E27A9F"/>
    <w:rsid w:val="00E413E6"/>
    <w:rsid w:val="00E5162D"/>
    <w:rsid w:val="00E53A5B"/>
    <w:rsid w:val="00E60C36"/>
    <w:rsid w:val="00E63859"/>
    <w:rsid w:val="00E81F99"/>
    <w:rsid w:val="00E82124"/>
    <w:rsid w:val="00E823F0"/>
    <w:rsid w:val="00E83003"/>
    <w:rsid w:val="00E84A59"/>
    <w:rsid w:val="00E91A92"/>
    <w:rsid w:val="00EB2FBA"/>
    <w:rsid w:val="00EB3BB2"/>
    <w:rsid w:val="00EC1EBF"/>
    <w:rsid w:val="00EE0A3B"/>
    <w:rsid w:val="00EE5AA0"/>
    <w:rsid w:val="00EE66E2"/>
    <w:rsid w:val="00EF1AF4"/>
    <w:rsid w:val="00EF7138"/>
    <w:rsid w:val="00F03763"/>
    <w:rsid w:val="00F16017"/>
    <w:rsid w:val="00F23656"/>
    <w:rsid w:val="00F26856"/>
    <w:rsid w:val="00F32E7A"/>
    <w:rsid w:val="00F37E89"/>
    <w:rsid w:val="00F4021B"/>
    <w:rsid w:val="00F40893"/>
    <w:rsid w:val="00F52A1E"/>
    <w:rsid w:val="00F70924"/>
    <w:rsid w:val="00F72625"/>
    <w:rsid w:val="00F763D1"/>
    <w:rsid w:val="00F820C3"/>
    <w:rsid w:val="00F869D2"/>
    <w:rsid w:val="00FB5D39"/>
    <w:rsid w:val="00FC2F4D"/>
    <w:rsid w:val="00FC7093"/>
    <w:rsid w:val="00FD289D"/>
    <w:rsid w:val="00FE7C1D"/>
    <w:rsid w:val="00FF74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580F"/>
    <w:pPr>
      <w:spacing w:after="0" w:line="240" w:lineRule="auto"/>
    </w:pPr>
  </w:style>
  <w:style w:type="character" w:customStyle="1" w:styleId="period">
    <w:name w:val="period"/>
    <w:basedOn w:val="Fuentedeprrafopredeter"/>
    <w:rsid w:val="00A518EA"/>
  </w:style>
  <w:style w:type="character" w:customStyle="1" w:styleId="cit">
    <w:name w:val="cit"/>
    <w:basedOn w:val="Fuentedeprrafopredeter"/>
    <w:rsid w:val="00A518EA"/>
  </w:style>
  <w:style w:type="character" w:customStyle="1" w:styleId="citation-doi">
    <w:name w:val="citation-doi"/>
    <w:basedOn w:val="Fuentedeprrafopredeter"/>
    <w:rsid w:val="00A518EA"/>
  </w:style>
  <w:style w:type="character" w:styleId="Hipervnculo">
    <w:name w:val="Hyperlink"/>
    <w:basedOn w:val="Fuentedeprrafopredeter"/>
    <w:uiPriority w:val="99"/>
    <w:unhideWhenUsed/>
    <w:rsid w:val="00E225AE"/>
    <w:rPr>
      <w:color w:val="0000FF"/>
      <w:u w:val="single"/>
    </w:rPr>
  </w:style>
  <w:style w:type="paragraph" w:customStyle="1" w:styleId="Default">
    <w:name w:val="Default"/>
    <w:rsid w:val="00E225A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kciteavail">
    <w:name w:val="bk_cite_avail"/>
    <w:basedOn w:val="Fuentedeprrafopredeter"/>
    <w:rsid w:val="00E225AE"/>
    <w:rPr>
      <w:rFonts w:cs="Times New Roman"/>
    </w:rPr>
  </w:style>
  <w:style w:type="paragraph" w:styleId="Prrafodelista">
    <w:name w:val="List Paragraph"/>
    <w:basedOn w:val="Normal"/>
    <w:uiPriority w:val="34"/>
    <w:qFormat/>
    <w:rsid w:val="00FE7C1D"/>
    <w:pPr>
      <w:ind w:left="720"/>
      <w:contextualSpacing/>
    </w:pPr>
  </w:style>
  <w:style w:type="character" w:styleId="Refdecomentario">
    <w:name w:val="annotation reference"/>
    <w:basedOn w:val="Fuentedeprrafopredeter"/>
    <w:uiPriority w:val="99"/>
    <w:semiHidden/>
    <w:unhideWhenUsed/>
    <w:rsid w:val="00CB4A71"/>
    <w:rPr>
      <w:sz w:val="16"/>
      <w:szCs w:val="16"/>
    </w:rPr>
  </w:style>
  <w:style w:type="paragraph" w:styleId="Textocomentario">
    <w:name w:val="annotation text"/>
    <w:basedOn w:val="Normal"/>
    <w:link w:val="TextocomentarioCar"/>
    <w:uiPriority w:val="99"/>
    <w:semiHidden/>
    <w:unhideWhenUsed/>
    <w:rsid w:val="00CB4A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A71"/>
    <w:rPr>
      <w:sz w:val="20"/>
      <w:szCs w:val="20"/>
    </w:rPr>
  </w:style>
  <w:style w:type="paragraph" w:styleId="Asuntodelcomentario">
    <w:name w:val="annotation subject"/>
    <w:basedOn w:val="Textocomentario"/>
    <w:next w:val="Textocomentario"/>
    <w:link w:val="AsuntodelcomentarioCar"/>
    <w:uiPriority w:val="99"/>
    <w:semiHidden/>
    <w:unhideWhenUsed/>
    <w:rsid w:val="00CB4A71"/>
    <w:rPr>
      <w:b/>
      <w:bCs/>
    </w:rPr>
  </w:style>
  <w:style w:type="character" w:customStyle="1" w:styleId="AsuntodelcomentarioCar">
    <w:name w:val="Asunto del comentario Car"/>
    <w:basedOn w:val="TextocomentarioCar"/>
    <w:link w:val="Asuntodelcomentario"/>
    <w:uiPriority w:val="99"/>
    <w:semiHidden/>
    <w:rsid w:val="00CB4A71"/>
    <w:rPr>
      <w:b/>
      <w:bCs/>
      <w:sz w:val="20"/>
      <w:szCs w:val="20"/>
    </w:rPr>
  </w:style>
  <w:style w:type="paragraph" w:styleId="Textodeglobo">
    <w:name w:val="Balloon Text"/>
    <w:basedOn w:val="Normal"/>
    <w:link w:val="TextodegloboCar"/>
    <w:uiPriority w:val="99"/>
    <w:semiHidden/>
    <w:unhideWhenUsed/>
    <w:rsid w:val="00CB0E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E78"/>
    <w:rPr>
      <w:rFonts w:ascii="Segoe UI" w:hAnsi="Segoe UI" w:cs="Segoe UI"/>
      <w:sz w:val="18"/>
      <w:szCs w:val="18"/>
    </w:rPr>
  </w:style>
  <w:style w:type="character" w:styleId="Hipervnculovisitado">
    <w:name w:val="FollowedHyperlink"/>
    <w:basedOn w:val="Fuentedeprrafopredeter"/>
    <w:uiPriority w:val="99"/>
    <w:semiHidden/>
    <w:unhideWhenUsed/>
    <w:rsid w:val="00CC7A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580F"/>
    <w:pPr>
      <w:spacing w:after="0" w:line="240" w:lineRule="auto"/>
    </w:pPr>
  </w:style>
  <w:style w:type="character" w:customStyle="1" w:styleId="period">
    <w:name w:val="period"/>
    <w:basedOn w:val="Fuentedeprrafopredeter"/>
    <w:rsid w:val="00A518EA"/>
  </w:style>
  <w:style w:type="character" w:customStyle="1" w:styleId="cit">
    <w:name w:val="cit"/>
    <w:basedOn w:val="Fuentedeprrafopredeter"/>
    <w:rsid w:val="00A518EA"/>
  </w:style>
  <w:style w:type="character" w:customStyle="1" w:styleId="citation-doi">
    <w:name w:val="citation-doi"/>
    <w:basedOn w:val="Fuentedeprrafopredeter"/>
    <w:rsid w:val="00A518EA"/>
  </w:style>
  <w:style w:type="character" w:styleId="Hipervnculo">
    <w:name w:val="Hyperlink"/>
    <w:basedOn w:val="Fuentedeprrafopredeter"/>
    <w:uiPriority w:val="99"/>
    <w:unhideWhenUsed/>
    <w:rsid w:val="00E225AE"/>
    <w:rPr>
      <w:color w:val="0000FF"/>
      <w:u w:val="single"/>
    </w:rPr>
  </w:style>
  <w:style w:type="paragraph" w:customStyle="1" w:styleId="Default">
    <w:name w:val="Default"/>
    <w:rsid w:val="00E225A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kciteavail">
    <w:name w:val="bk_cite_avail"/>
    <w:basedOn w:val="Fuentedeprrafopredeter"/>
    <w:rsid w:val="00E225AE"/>
    <w:rPr>
      <w:rFonts w:cs="Times New Roman"/>
    </w:rPr>
  </w:style>
  <w:style w:type="paragraph" w:styleId="Prrafodelista">
    <w:name w:val="List Paragraph"/>
    <w:basedOn w:val="Normal"/>
    <w:uiPriority w:val="34"/>
    <w:qFormat/>
    <w:rsid w:val="00FE7C1D"/>
    <w:pPr>
      <w:ind w:left="720"/>
      <w:contextualSpacing/>
    </w:pPr>
  </w:style>
  <w:style w:type="character" w:styleId="Refdecomentario">
    <w:name w:val="annotation reference"/>
    <w:basedOn w:val="Fuentedeprrafopredeter"/>
    <w:uiPriority w:val="99"/>
    <w:semiHidden/>
    <w:unhideWhenUsed/>
    <w:rsid w:val="00CB4A71"/>
    <w:rPr>
      <w:sz w:val="16"/>
      <w:szCs w:val="16"/>
    </w:rPr>
  </w:style>
  <w:style w:type="paragraph" w:styleId="Textocomentario">
    <w:name w:val="annotation text"/>
    <w:basedOn w:val="Normal"/>
    <w:link w:val="TextocomentarioCar"/>
    <w:uiPriority w:val="99"/>
    <w:semiHidden/>
    <w:unhideWhenUsed/>
    <w:rsid w:val="00CB4A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A71"/>
    <w:rPr>
      <w:sz w:val="20"/>
      <w:szCs w:val="20"/>
    </w:rPr>
  </w:style>
  <w:style w:type="paragraph" w:styleId="Asuntodelcomentario">
    <w:name w:val="annotation subject"/>
    <w:basedOn w:val="Textocomentario"/>
    <w:next w:val="Textocomentario"/>
    <w:link w:val="AsuntodelcomentarioCar"/>
    <w:uiPriority w:val="99"/>
    <w:semiHidden/>
    <w:unhideWhenUsed/>
    <w:rsid w:val="00CB4A71"/>
    <w:rPr>
      <w:b/>
      <w:bCs/>
    </w:rPr>
  </w:style>
  <w:style w:type="character" w:customStyle="1" w:styleId="AsuntodelcomentarioCar">
    <w:name w:val="Asunto del comentario Car"/>
    <w:basedOn w:val="TextocomentarioCar"/>
    <w:link w:val="Asuntodelcomentario"/>
    <w:uiPriority w:val="99"/>
    <w:semiHidden/>
    <w:rsid w:val="00CB4A71"/>
    <w:rPr>
      <w:b/>
      <w:bCs/>
      <w:sz w:val="20"/>
      <w:szCs w:val="20"/>
    </w:rPr>
  </w:style>
  <w:style w:type="paragraph" w:styleId="Textodeglobo">
    <w:name w:val="Balloon Text"/>
    <w:basedOn w:val="Normal"/>
    <w:link w:val="TextodegloboCar"/>
    <w:uiPriority w:val="99"/>
    <w:semiHidden/>
    <w:unhideWhenUsed/>
    <w:rsid w:val="00CB0E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E78"/>
    <w:rPr>
      <w:rFonts w:ascii="Segoe UI" w:hAnsi="Segoe UI" w:cs="Segoe UI"/>
      <w:sz w:val="18"/>
      <w:szCs w:val="18"/>
    </w:rPr>
  </w:style>
  <w:style w:type="character" w:styleId="Hipervnculovisitado">
    <w:name w:val="FollowedHyperlink"/>
    <w:basedOn w:val="Fuentedeprrafopredeter"/>
    <w:uiPriority w:val="99"/>
    <w:semiHidden/>
    <w:unhideWhenUsed/>
    <w:rsid w:val="00CC7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7408">
      <w:bodyDiv w:val="1"/>
      <w:marLeft w:val="0"/>
      <w:marRight w:val="0"/>
      <w:marTop w:val="0"/>
      <w:marBottom w:val="0"/>
      <w:divBdr>
        <w:top w:val="none" w:sz="0" w:space="0" w:color="auto"/>
        <w:left w:val="none" w:sz="0" w:space="0" w:color="auto"/>
        <w:bottom w:val="none" w:sz="0" w:space="0" w:color="auto"/>
        <w:right w:val="none" w:sz="0" w:space="0" w:color="auto"/>
      </w:divBdr>
      <w:divsChild>
        <w:div w:id="1037924771">
          <w:marLeft w:val="0"/>
          <w:marRight w:val="0"/>
          <w:marTop w:val="0"/>
          <w:marBottom w:val="0"/>
          <w:divBdr>
            <w:top w:val="none" w:sz="0" w:space="0" w:color="auto"/>
            <w:left w:val="none" w:sz="0" w:space="0" w:color="auto"/>
            <w:bottom w:val="none" w:sz="0" w:space="0" w:color="auto"/>
            <w:right w:val="none" w:sz="0" w:space="0" w:color="auto"/>
          </w:divBdr>
          <w:divsChild>
            <w:div w:id="253823131">
              <w:marLeft w:val="0"/>
              <w:marRight w:val="0"/>
              <w:marTop w:val="0"/>
              <w:marBottom w:val="0"/>
              <w:divBdr>
                <w:top w:val="none" w:sz="0" w:space="0" w:color="auto"/>
                <w:left w:val="none" w:sz="0" w:space="0" w:color="auto"/>
                <w:bottom w:val="none" w:sz="0" w:space="0" w:color="auto"/>
                <w:right w:val="none" w:sz="0" w:space="0" w:color="auto"/>
              </w:divBdr>
              <w:divsChild>
                <w:div w:id="2034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0238">
      <w:bodyDiv w:val="1"/>
      <w:marLeft w:val="0"/>
      <w:marRight w:val="0"/>
      <w:marTop w:val="0"/>
      <w:marBottom w:val="0"/>
      <w:divBdr>
        <w:top w:val="none" w:sz="0" w:space="0" w:color="auto"/>
        <w:left w:val="none" w:sz="0" w:space="0" w:color="auto"/>
        <w:bottom w:val="none" w:sz="0" w:space="0" w:color="auto"/>
        <w:right w:val="none" w:sz="0" w:space="0" w:color="auto"/>
      </w:divBdr>
      <w:divsChild>
        <w:div w:id="112750733">
          <w:marLeft w:val="0"/>
          <w:marRight w:val="0"/>
          <w:marTop w:val="0"/>
          <w:marBottom w:val="0"/>
          <w:divBdr>
            <w:top w:val="none" w:sz="0" w:space="0" w:color="auto"/>
            <w:left w:val="none" w:sz="0" w:space="0" w:color="auto"/>
            <w:bottom w:val="none" w:sz="0" w:space="0" w:color="auto"/>
            <w:right w:val="none" w:sz="0" w:space="0" w:color="auto"/>
          </w:divBdr>
          <w:divsChild>
            <w:div w:id="1899969534">
              <w:marLeft w:val="0"/>
              <w:marRight w:val="0"/>
              <w:marTop w:val="0"/>
              <w:marBottom w:val="0"/>
              <w:divBdr>
                <w:top w:val="none" w:sz="0" w:space="0" w:color="auto"/>
                <w:left w:val="none" w:sz="0" w:space="0" w:color="auto"/>
                <w:bottom w:val="none" w:sz="0" w:space="0" w:color="auto"/>
                <w:right w:val="none" w:sz="0" w:space="0" w:color="auto"/>
              </w:divBdr>
              <w:divsChild>
                <w:div w:id="8719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paho.org/handle/10665.2/515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ho.int/csr/don/05-january-2020-pneumonia-of-unkown-cause-china/e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books/NBK548243/"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ctep.cancer.gov/protocoldevelopment/electronic_applications/ctc.htm" TargetMode="External"/><Relationship Id="rId4" Type="http://schemas.microsoft.com/office/2007/relationships/stylesWithEffects" Target="stylesWithEffects.xml"/><Relationship Id="rId9" Type="http://schemas.openxmlformats.org/officeDocument/2006/relationships/hyperlink" Target="https://cima.aemps.es/cima/pdfs/es/ft/08492003/FT_08492003.pdf" TargetMode="Externa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B3E4-05AF-4260-BFDB-143CDE48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4176</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Severino Cuevas</dc:creator>
  <cp:lastModifiedBy>usuario</cp:lastModifiedBy>
  <cp:revision>2</cp:revision>
  <cp:lastPrinted>2021-11-04T15:13:00Z</cp:lastPrinted>
  <dcterms:created xsi:type="dcterms:W3CDTF">2021-11-19T14:00:00Z</dcterms:created>
  <dcterms:modified xsi:type="dcterms:W3CDTF">2021-11-19T14:00:00Z</dcterms:modified>
</cp:coreProperties>
</file>