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F55A7" w14:textId="77777777" w:rsidR="0021610D" w:rsidRDefault="0021610D" w:rsidP="009B5F22">
      <w:pPr>
        <w:widowControl w:val="0"/>
        <w:autoSpaceDE w:val="0"/>
        <w:autoSpaceDN w:val="0"/>
        <w:adjustRightInd w:val="0"/>
        <w:spacing w:after="240" w:line="360" w:lineRule="auto"/>
        <w:rPr>
          <w:bCs/>
          <w:color w:val="000000" w:themeColor="text1"/>
        </w:rPr>
      </w:pPr>
      <w:bookmarkStart w:id="0" w:name="_GoBack"/>
      <w:bookmarkEnd w:id="0"/>
      <w:r w:rsidRPr="0021610D">
        <w:rPr>
          <w:b/>
          <w:color w:val="000000" w:themeColor="text1"/>
        </w:rPr>
        <w:t>Título:</w:t>
      </w:r>
      <w:r w:rsidRPr="0021610D">
        <w:rPr>
          <w:bCs/>
          <w:color w:val="000000" w:themeColor="text1"/>
        </w:rPr>
        <w:t xml:space="preserve"> “Caracterización clínica y epidemiológica de </w:t>
      </w:r>
      <w:r w:rsidR="00416F80">
        <w:rPr>
          <w:bCs/>
          <w:color w:val="000000" w:themeColor="text1"/>
        </w:rPr>
        <w:t xml:space="preserve">200 pacientes con </w:t>
      </w:r>
      <w:r w:rsidRPr="0021610D">
        <w:rPr>
          <w:bCs/>
          <w:color w:val="000000" w:themeColor="text1"/>
        </w:rPr>
        <w:t>loxoscelismo cutáneo y cutáneo visceral</w:t>
      </w:r>
      <w:r w:rsidR="00416F80">
        <w:rPr>
          <w:bCs/>
          <w:color w:val="000000" w:themeColor="text1"/>
        </w:rPr>
        <w:t xml:space="preserve">”. </w:t>
      </w:r>
    </w:p>
    <w:p w14:paraId="01F59A8C" w14:textId="77777777" w:rsidR="002351B4" w:rsidRPr="002351B4" w:rsidRDefault="002351B4" w:rsidP="009B5F22">
      <w:pPr>
        <w:widowControl w:val="0"/>
        <w:autoSpaceDE w:val="0"/>
        <w:autoSpaceDN w:val="0"/>
        <w:adjustRightInd w:val="0"/>
        <w:spacing w:after="240" w:line="360" w:lineRule="auto"/>
        <w:rPr>
          <w:b/>
          <w:color w:val="000000" w:themeColor="text1"/>
        </w:rPr>
      </w:pPr>
      <w:r w:rsidRPr="002351B4">
        <w:rPr>
          <w:b/>
          <w:color w:val="000000" w:themeColor="text1"/>
        </w:rPr>
        <w:t xml:space="preserve">Título abreviado: </w:t>
      </w:r>
      <w:r w:rsidRPr="00252CCE">
        <w:rPr>
          <w:bCs/>
          <w:color w:val="000000" w:themeColor="text1"/>
        </w:rPr>
        <w:t>Caracterización</w:t>
      </w:r>
      <w:r w:rsidR="00252CCE" w:rsidRPr="00252CCE">
        <w:rPr>
          <w:bCs/>
          <w:color w:val="000000" w:themeColor="text1"/>
        </w:rPr>
        <w:t xml:space="preserve"> </w:t>
      </w:r>
      <w:r w:rsidR="00E91090">
        <w:rPr>
          <w:bCs/>
          <w:color w:val="000000" w:themeColor="text1"/>
        </w:rPr>
        <w:t xml:space="preserve">200 casos </w:t>
      </w:r>
      <w:r w:rsidRPr="00252CCE">
        <w:rPr>
          <w:bCs/>
          <w:color w:val="000000" w:themeColor="text1"/>
        </w:rPr>
        <w:t>de loxoscelismo</w:t>
      </w:r>
      <w:r>
        <w:rPr>
          <w:b/>
          <w:color w:val="000000" w:themeColor="text1"/>
        </w:rPr>
        <w:t xml:space="preserve"> </w:t>
      </w:r>
    </w:p>
    <w:p w14:paraId="4636AD26" w14:textId="77777777" w:rsidR="006C7669" w:rsidRDefault="006C7669" w:rsidP="009B5F22">
      <w:pPr>
        <w:widowControl w:val="0"/>
        <w:autoSpaceDE w:val="0"/>
        <w:autoSpaceDN w:val="0"/>
        <w:adjustRightInd w:val="0"/>
        <w:spacing w:after="240" w:line="360" w:lineRule="auto"/>
        <w:rPr>
          <w:bCs/>
          <w:color w:val="000000" w:themeColor="text1"/>
        </w:rPr>
      </w:pPr>
    </w:p>
    <w:p w14:paraId="3A9D5ECD" w14:textId="77777777" w:rsidR="00291B21" w:rsidRPr="00681FA9" w:rsidRDefault="00291B21" w:rsidP="009B5F22">
      <w:pPr>
        <w:widowControl w:val="0"/>
        <w:autoSpaceDE w:val="0"/>
        <w:autoSpaceDN w:val="0"/>
        <w:adjustRightInd w:val="0"/>
        <w:spacing w:after="240" w:line="360" w:lineRule="auto"/>
        <w:rPr>
          <w:bCs/>
          <w:color w:val="000000" w:themeColor="text1"/>
        </w:rPr>
      </w:pPr>
      <w:r w:rsidRPr="00681FA9">
        <w:rPr>
          <w:b/>
          <w:color w:val="000000" w:themeColor="text1"/>
        </w:rPr>
        <w:t>Autores:</w:t>
      </w:r>
      <w:r w:rsidRPr="00681FA9">
        <w:rPr>
          <w:bCs/>
          <w:color w:val="000000" w:themeColor="text1"/>
        </w:rPr>
        <w:t xml:space="preserve"> </w:t>
      </w:r>
      <w:r w:rsidR="0023696B" w:rsidRPr="00681FA9">
        <w:rPr>
          <w:bCs/>
          <w:color w:val="000000" w:themeColor="text1"/>
        </w:rPr>
        <w:t>Katherine Droppelmann MD</w:t>
      </w:r>
      <w:r w:rsidR="0023696B" w:rsidRPr="00681FA9">
        <w:rPr>
          <w:bCs/>
          <w:color w:val="000000" w:themeColor="text1"/>
          <w:vertAlign w:val="superscript"/>
        </w:rPr>
        <w:t>1</w:t>
      </w:r>
      <w:r w:rsidR="0023696B" w:rsidRPr="00681FA9">
        <w:rPr>
          <w:bCs/>
          <w:color w:val="000000" w:themeColor="text1"/>
        </w:rPr>
        <w:t xml:space="preserve">, </w:t>
      </w:r>
      <w:r w:rsidRPr="00681FA9">
        <w:rPr>
          <w:bCs/>
          <w:color w:val="000000" w:themeColor="text1"/>
        </w:rPr>
        <w:t>Paula Majluf</w:t>
      </w:r>
      <w:r w:rsidR="00E93732">
        <w:rPr>
          <w:bCs/>
          <w:color w:val="000000" w:themeColor="text1"/>
        </w:rPr>
        <w:t>-Cáceres</w:t>
      </w:r>
      <w:r w:rsidR="002351B4" w:rsidRPr="00681FA9">
        <w:rPr>
          <w:bCs/>
          <w:color w:val="000000" w:themeColor="text1"/>
        </w:rPr>
        <w:t xml:space="preserve"> MD</w:t>
      </w:r>
      <w:r w:rsidRPr="00681FA9">
        <w:rPr>
          <w:bCs/>
          <w:color w:val="000000" w:themeColor="text1"/>
          <w:vertAlign w:val="superscript"/>
        </w:rPr>
        <w:t>1</w:t>
      </w:r>
      <w:r w:rsidRPr="00681FA9">
        <w:rPr>
          <w:bCs/>
          <w:color w:val="000000" w:themeColor="text1"/>
        </w:rPr>
        <w:t xml:space="preserve">, </w:t>
      </w:r>
      <w:r w:rsidR="0023696B" w:rsidRPr="00681FA9">
        <w:rPr>
          <w:bCs/>
          <w:color w:val="000000" w:themeColor="text1"/>
        </w:rPr>
        <w:t>Natalia Sabatini</w:t>
      </w:r>
      <w:r w:rsidR="00E93732">
        <w:rPr>
          <w:bCs/>
          <w:color w:val="000000" w:themeColor="text1"/>
        </w:rPr>
        <w:t>-Ugarte</w:t>
      </w:r>
      <w:r w:rsidR="0023696B" w:rsidRPr="00681FA9">
        <w:rPr>
          <w:bCs/>
          <w:color w:val="000000" w:themeColor="text1"/>
        </w:rPr>
        <w:t xml:space="preserve"> MD</w:t>
      </w:r>
      <w:r w:rsidR="0023696B" w:rsidRPr="00681FA9">
        <w:rPr>
          <w:bCs/>
          <w:color w:val="000000" w:themeColor="text1"/>
          <w:vertAlign w:val="superscript"/>
        </w:rPr>
        <w:t>1</w:t>
      </w:r>
      <w:r w:rsidR="0023696B" w:rsidRPr="00681FA9">
        <w:rPr>
          <w:bCs/>
          <w:color w:val="000000" w:themeColor="text1"/>
        </w:rPr>
        <w:t xml:space="preserve">, </w:t>
      </w:r>
      <w:r w:rsidRPr="00681FA9">
        <w:rPr>
          <w:bCs/>
          <w:color w:val="000000" w:themeColor="text1"/>
        </w:rPr>
        <w:t>Elizabeth Valle</w:t>
      </w:r>
      <w:r w:rsidR="002351B4" w:rsidRPr="00681FA9">
        <w:rPr>
          <w:bCs/>
          <w:color w:val="000000" w:themeColor="text1"/>
        </w:rPr>
        <w:t xml:space="preserve"> MD</w:t>
      </w:r>
      <w:r w:rsidRPr="00681FA9">
        <w:rPr>
          <w:bCs/>
          <w:color w:val="000000" w:themeColor="text1"/>
          <w:vertAlign w:val="superscript"/>
        </w:rPr>
        <w:t>1</w:t>
      </w:r>
      <w:r w:rsidRPr="00681FA9">
        <w:rPr>
          <w:bCs/>
          <w:color w:val="000000" w:themeColor="text1"/>
        </w:rPr>
        <w:t xml:space="preserve">, </w:t>
      </w:r>
      <w:r w:rsidR="002F5138">
        <w:rPr>
          <w:bCs/>
          <w:color w:val="000000" w:themeColor="text1"/>
        </w:rPr>
        <w:t>Hernán Herrera MD</w:t>
      </w:r>
      <w:r w:rsidR="002F5138">
        <w:rPr>
          <w:bCs/>
          <w:color w:val="000000" w:themeColor="text1"/>
          <w:vertAlign w:val="superscript"/>
        </w:rPr>
        <w:t>2</w:t>
      </w:r>
      <w:r w:rsidR="002F5138">
        <w:rPr>
          <w:bCs/>
          <w:color w:val="000000" w:themeColor="text1"/>
        </w:rPr>
        <w:t xml:space="preserve"> </w:t>
      </w:r>
      <w:r w:rsidR="0023696B" w:rsidRPr="00681FA9">
        <w:rPr>
          <w:bCs/>
          <w:color w:val="000000" w:themeColor="text1"/>
        </w:rPr>
        <w:t>David Acuña</w:t>
      </w:r>
      <w:r w:rsidR="002351B4" w:rsidRPr="00681FA9">
        <w:rPr>
          <w:bCs/>
          <w:color w:val="000000" w:themeColor="text1"/>
        </w:rPr>
        <w:t xml:space="preserve"> MD</w:t>
      </w:r>
      <w:r w:rsidR="002F5138">
        <w:rPr>
          <w:bCs/>
          <w:color w:val="000000" w:themeColor="text1"/>
          <w:vertAlign w:val="superscript"/>
        </w:rPr>
        <w:t>3</w:t>
      </w:r>
      <w:r w:rsidRPr="00681FA9">
        <w:rPr>
          <w:bCs/>
          <w:color w:val="000000" w:themeColor="text1"/>
        </w:rPr>
        <w:t xml:space="preserve">. </w:t>
      </w:r>
    </w:p>
    <w:p w14:paraId="424AC0B4" w14:textId="77777777" w:rsidR="00291B21" w:rsidRDefault="00291B21" w:rsidP="009B5F22">
      <w:pPr>
        <w:widowControl w:val="0"/>
        <w:autoSpaceDE w:val="0"/>
        <w:autoSpaceDN w:val="0"/>
        <w:adjustRightInd w:val="0"/>
        <w:spacing w:after="240" w:line="360" w:lineRule="auto"/>
        <w:rPr>
          <w:bCs/>
          <w:color w:val="000000" w:themeColor="text1"/>
        </w:rPr>
      </w:pPr>
      <w:r>
        <w:rPr>
          <w:bCs/>
          <w:color w:val="000000" w:themeColor="text1"/>
          <w:vertAlign w:val="superscript"/>
        </w:rPr>
        <w:t>1</w:t>
      </w:r>
      <w:r w:rsidR="00681FA9">
        <w:rPr>
          <w:bCs/>
          <w:color w:val="000000" w:themeColor="text1"/>
          <w:vertAlign w:val="superscript"/>
        </w:rPr>
        <w:t xml:space="preserve"> </w:t>
      </w:r>
      <w:r>
        <w:rPr>
          <w:bCs/>
          <w:color w:val="000000" w:themeColor="text1"/>
        </w:rPr>
        <w:t>Departamento de Dermatología, Escuela de Medicina, Pontificia Universidad Católica de Chile</w:t>
      </w:r>
      <w:r w:rsidR="002351B4">
        <w:rPr>
          <w:bCs/>
          <w:color w:val="000000" w:themeColor="text1"/>
        </w:rPr>
        <w:t>, Santiago, Chile</w:t>
      </w:r>
      <w:r>
        <w:rPr>
          <w:bCs/>
          <w:color w:val="000000" w:themeColor="text1"/>
        </w:rPr>
        <w:t xml:space="preserve"> </w:t>
      </w:r>
    </w:p>
    <w:p w14:paraId="48CF9840" w14:textId="77777777" w:rsidR="002F5138" w:rsidRPr="002F5138" w:rsidRDefault="002F5138" w:rsidP="009B5F22">
      <w:pPr>
        <w:widowControl w:val="0"/>
        <w:autoSpaceDE w:val="0"/>
        <w:autoSpaceDN w:val="0"/>
        <w:adjustRightInd w:val="0"/>
        <w:spacing w:after="240" w:line="360" w:lineRule="auto"/>
        <w:rPr>
          <w:bCs/>
          <w:color w:val="000000" w:themeColor="text1"/>
        </w:rPr>
      </w:pPr>
      <w:r>
        <w:rPr>
          <w:bCs/>
          <w:color w:val="000000" w:themeColor="text1"/>
          <w:vertAlign w:val="superscript"/>
        </w:rPr>
        <w:t>2</w:t>
      </w:r>
      <w:r>
        <w:rPr>
          <w:bCs/>
          <w:color w:val="000000" w:themeColor="text1"/>
        </w:rPr>
        <w:t xml:space="preserve"> Escuela de Medicina, Universidad de Santiago de Chile, Magíster en Epidemiología, Pontificia Universidad Católica de Chile, Santiago, Chile.</w:t>
      </w:r>
    </w:p>
    <w:p w14:paraId="5F10A770" w14:textId="77777777" w:rsidR="00291B21" w:rsidRDefault="002F5138" w:rsidP="009B5F22">
      <w:pPr>
        <w:widowControl w:val="0"/>
        <w:autoSpaceDE w:val="0"/>
        <w:autoSpaceDN w:val="0"/>
        <w:adjustRightInd w:val="0"/>
        <w:spacing w:after="240" w:line="360" w:lineRule="auto"/>
        <w:rPr>
          <w:bCs/>
          <w:color w:val="000000" w:themeColor="text1"/>
        </w:rPr>
      </w:pPr>
      <w:r>
        <w:rPr>
          <w:bCs/>
          <w:color w:val="000000" w:themeColor="text1"/>
          <w:vertAlign w:val="superscript"/>
        </w:rPr>
        <w:t xml:space="preserve">3 </w:t>
      </w:r>
      <w:r w:rsidR="007E4C11">
        <w:rPr>
          <w:bCs/>
          <w:color w:val="000000" w:themeColor="text1"/>
        </w:rPr>
        <w:t>Sección</w:t>
      </w:r>
      <w:r w:rsidR="00291B21">
        <w:rPr>
          <w:bCs/>
          <w:color w:val="000000" w:themeColor="text1"/>
        </w:rPr>
        <w:t xml:space="preserve"> de Medicina de Urgencia, </w:t>
      </w:r>
      <w:r w:rsidR="0023696B">
        <w:rPr>
          <w:bCs/>
          <w:color w:val="000000" w:themeColor="text1"/>
        </w:rPr>
        <w:t xml:space="preserve">Departamento de Medicina Interna, </w:t>
      </w:r>
      <w:r w:rsidR="00291B21">
        <w:rPr>
          <w:bCs/>
          <w:color w:val="000000" w:themeColor="text1"/>
        </w:rPr>
        <w:t>Escuela de Medicina, Pontificia Universidad Católica de Chile</w:t>
      </w:r>
      <w:r w:rsidR="002351B4">
        <w:rPr>
          <w:bCs/>
          <w:color w:val="000000" w:themeColor="text1"/>
        </w:rPr>
        <w:t>, Santiago, Chile</w:t>
      </w:r>
    </w:p>
    <w:p w14:paraId="1CF46BE0" w14:textId="77777777" w:rsidR="002351B4" w:rsidRDefault="002351B4" w:rsidP="009B5F22">
      <w:pPr>
        <w:widowControl w:val="0"/>
        <w:autoSpaceDE w:val="0"/>
        <w:autoSpaceDN w:val="0"/>
        <w:adjustRightInd w:val="0"/>
        <w:spacing w:after="240" w:line="360" w:lineRule="auto"/>
        <w:rPr>
          <w:bCs/>
          <w:color w:val="000000" w:themeColor="text1"/>
        </w:rPr>
      </w:pPr>
      <w:r>
        <w:rPr>
          <w:bCs/>
          <w:color w:val="000000" w:themeColor="text1"/>
        </w:rPr>
        <w:t xml:space="preserve">Autor correspondiente: </w:t>
      </w:r>
      <w:r w:rsidRPr="008F76DA">
        <w:rPr>
          <w:bCs/>
          <w:color w:val="000000" w:themeColor="text1"/>
        </w:rPr>
        <w:t>David Acu</w:t>
      </w:r>
      <w:r w:rsidR="003E51FE" w:rsidRPr="008F76DA">
        <w:rPr>
          <w:bCs/>
          <w:color w:val="000000" w:themeColor="text1"/>
        </w:rPr>
        <w:t>ñ</w:t>
      </w:r>
      <w:r w:rsidRPr="008F76DA">
        <w:rPr>
          <w:bCs/>
          <w:color w:val="000000" w:themeColor="text1"/>
        </w:rPr>
        <w:t xml:space="preserve">a Ramírez. </w:t>
      </w:r>
      <w:r>
        <w:rPr>
          <w:bCs/>
          <w:color w:val="000000" w:themeColor="text1"/>
        </w:rPr>
        <w:t>Dirección: Teléfono: 982689777. Correo electrónic</w:t>
      </w:r>
      <w:r w:rsidR="00E91090">
        <w:rPr>
          <w:bCs/>
          <w:color w:val="000000" w:themeColor="text1"/>
        </w:rPr>
        <w:t>o: dgacuna@uc.cl</w:t>
      </w:r>
    </w:p>
    <w:p w14:paraId="67DB3156" w14:textId="77777777" w:rsidR="00252CCE" w:rsidRDefault="00252CCE" w:rsidP="009B5F22">
      <w:pPr>
        <w:widowControl w:val="0"/>
        <w:autoSpaceDE w:val="0"/>
        <w:autoSpaceDN w:val="0"/>
        <w:adjustRightInd w:val="0"/>
        <w:spacing w:after="240" w:line="360" w:lineRule="auto"/>
        <w:rPr>
          <w:bCs/>
          <w:color w:val="000000" w:themeColor="text1"/>
        </w:rPr>
      </w:pPr>
    </w:p>
    <w:p w14:paraId="5F009C96" w14:textId="77777777" w:rsidR="00252CCE" w:rsidRDefault="00252CCE" w:rsidP="009B5F22">
      <w:pPr>
        <w:widowControl w:val="0"/>
        <w:autoSpaceDE w:val="0"/>
        <w:autoSpaceDN w:val="0"/>
        <w:adjustRightInd w:val="0"/>
        <w:spacing w:after="240" w:line="360" w:lineRule="auto"/>
        <w:rPr>
          <w:bCs/>
          <w:color w:val="000000" w:themeColor="text1"/>
        </w:rPr>
      </w:pPr>
    </w:p>
    <w:p w14:paraId="3584195C" w14:textId="77777777" w:rsidR="00252CCE" w:rsidRPr="00291B21" w:rsidRDefault="00252CCE" w:rsidP="009B5F22">
      <w:pPr>
        <w:widowControl w:val="0"/>
        <w:autoSpaceDE w:val="0"/>
        <w:autoSpaceDN w:val="0"/>
        <w:adjustRightInd w:val="0"/>
        <w:spacing w:after="240" w:line="360" w:lineRule="auto"/>
        <w:rPr>
          <w:bCs/>
          <w:color w:val="000000" w:themeColor="text1"/>
        </w:rPr>
      </w:pPr>
      <w:r>
        <w:rPr>
          <w:bCs/>
          <w:color w:val="000000" w:themeColor="text1"/>
        </w:rPr>
        <w:t>Número de tablas: 4</w:t>
      </w:r>
    </w:p>
    <w:p w14:paraId="27CDA35C" w14:textId="77777777" w:rsidR="002351B4" w:rsidRDefault="002351B4" w:rsidP="009B5F22">
      <w:pPr>
        <w:widowControl w:val="0"/>
        <w:autoSpaceDE w:val="0"/>
        <w:autoSpaceDN w:val="0"/>
        <w:adjustRightInd w:val="0"/>
        <w:spacing w:after="240" w:line="360" w:lineRule="auto"/>
        <w:rPr>
          <w:bCs/>
          <w:color w:val="000000" w:themeColor="text1"/>
        </w:rPr>
      </w:pPr>
      <w:r>
        <w:rPr>
          <w:bCs/>
          <w:color w:val="000000" w:themeColor="text1"/>
        </w:rPr>
        <w:t xml:space="preserve">Número de palabras: </w:t>
      </w:r>
      <w:r w:rsidR="009B5F22">
        <w:rPr>
          <w:bCs/>
          <w:color w:val="000000" w:themeColor="text1"/>
        </w:rPr>
        <w:t>2</w:t>
      </w:r>
      <w:r w:rsidR="00E81164">
        <w:rPr>
          <w:bCs/>
          <w:color w:val="000000" w:themeColor="text1"/>
        </w:rPr>
        <w:t>450</w:t>
      </w:r>
    </w:p>
    <w:p w14:paraId="1700B819" w14:textId="77777777" w:rsidR="00291B21" w:rsidRPr="0021610D" w:rsidRDefault="00291B21" w:rsidP="009B5F22">
      <w:pPr>
        <w:widowControl w:val="0"/>
        <w:autoSpaceDE w:val="0"/>
        <w:autoSpaceDN w:val="0"/>
        <w:adjustRightInd w:val="0"/>
        <w:spacing w:after="240" w:line="360" w:lineRule="auto"/>
        <w:rPr>
          <w:bCs/>
          <w:color w:val="000000" w:themeColor="text1"/>
        </w:rPr>
      </w:pPr>
    </w:p>
    <w:p w14:paraId="11A348FD" w14:textId="77777777" w:rsidR="002351B4" w:rsidRDefault="002351B4" w:rsidP="009B5F22">
      <w:pPr>
        <w:widowControl w:val="0"/>
        <w:autoSpaceDE w:val="0"/>
        <w:autoSpaceDN w:val="0"/>
        <w:adjustRightInd w:val="0"/>
        <w:spacing w:after="240" w:line="360" w:lineRule="auto"/>
        <w:rPr>
          <w:b/>
          <w:color w:val="000000" w:themeColor="text1"/>
        </w:rPr>
      </w:pPr>
    </w:p>
    <w:p w14:paraId="4033C456" w14:textId="77777777" w:rsidR="002351B4" w:rsidRDefault="002351B4" w:rsidP="009B5F22">
      <w:pPr>
        <w:widowControl w:val="0"/>
        <w:autoSpaceDE w:val="0"/>
        <w:autoSpaceDN w:val="0"/>
        <w:adjustRightInd w:val="0"/>
        <w:spacing w:after="240" w:line="360" w:lineRule="auto"/>
        <w:rPr>
          <w:b/>
          <w:color w:val="000000" w:themeColor="text1"/>
        </w:rPr>
      </w:pPr>
    </w:p>
    <w:p w14:paraId="1CFFFA73" w14:textId="77777777" w:rsidR="00221B1F" w:rsidRDefault="00221B1F" w:rsidP="009B5F22">
      <w:pPr>
        <w:widowControl w:val="0"/>
        <w:autoSpaceDE w:val="0"/>
        <w:autoSpaceDN w:val="0"/>
        <w:adjustRightInd w:val="0"/>
        <w:spacing w:after="240" w:line="360" w:lineRule="auto"/>
        <w:rPr>
          <w:b/>
          <w:color w:val="000000" w:themeColor="text1"/>
        </w:rPr>
      </w:pPr>
    </w:p>
    <w:p w14:paraId="2337D423" w14:textId="77777777" w:rsidR="00E92BAF" w:rsidRDefault="00E92BAF" w:rsidP="009B5F22">
      <w:pPr>
        <w:widowControl w:val="0"/>
        <w:autoSpaceDE w:val="0"/>
        <w:autoSpaceDN w:val="0"/>
        <w:adjustRightInd w:val="0"/>
        <w:spacing w:after="240" w:line="360" w:lineRule="auto"/>
        <w:rPr>
          <w:b/>
          <w:color w:val="000000" w:themeColor="text1"/>
        </w:rPr>
      </w:pPr>
    </w:p>
    <w:p w14:paraId="2FD20BB2" w14:textId="77777777" w:rsidR="00E92BAF" w:rsidRDefault="00E92BAF" w:rsidP="009B5F22">
      <w:pPr>
        <w:widowControl w:val="0"/>
        <w:autoSpaceDE w:val="0"/>
        <w:autoSpaceDN w:val="0"/>
        <w:adjustRightInd w:val="0"/>
        <w:spacing w:after="240" w:line="360" w:lineRule="auto"/>
        <w:rPr>
          <w:b/>
          <w:color w:val="000000" w:themeColor="text1"/>
        </w:rPr>
      </w:pPr>
    </w:p>
    <w:p w14:paraId="2817825C" w14:textId="77777777" w:rsidR="001F1515" w:rsidRDefault="00130483" w:rsidP="009B5F22">
      <w:pPr>
        <w:widowControl w:val="0"/>
        <w:autoSpaceDE w:val="0"/>
        <w:autoSpaceDN w:val="0"/>
        <w:adjustRightInd w:val="0"/>
        <w:spacing w:after="240" w:line="360" w:lineRule="auto"/>
        <w:rPr>
          <w:b/>
          <w:color w:val="000000" w:themeColor="text1"/>
        </w:rPr>
      </w:pPr>
      <w:r>
        <w:rPr>
          <w:b/>
          <w:color w:val="000000" w:themeColor="text1"/>
        </w:rPr>
        <w:t>Resumen</w:t>
      </w:r>
    </w:p>
    <w:p w14:paraId="28F0BCF8" w14:textId="77777777" w:rsidR="00130483" w:rsidRDefault="00130483" w:rsidP="009B5F22">
      <w:pPr>
        <w:widowControl w:val="0"/>
        <w:autoSpaceDE w:val="0"/>
        <w:autoSpaceDN w:val="0"/>
        <w:adjustRightInd w:val="0"/>
        <w:spacing w:after="240" w:line="360" w:lineRule="auto"/>
        <w:rPr>
          <w:bCs/>
          <w:color w:val="000000" w:themeColor="text1"/>
        </w:rPr>
      </w:pPr>
      <w:r>
        <w:rPr>
          <w:b/>
          <w:color w:val="000000" w:themeColor="text1"/>
        </w:rPr>
        <w:t xml:space="preserve">Introducción: </w:t>
      </w:r>
      <w:r>
        <w:rPr>
          <w:bCs/>
          <w:color w:val="000000" w:themeColor="text1"/>
        </w:rPr>
        <w:t>El loxoscelismo es</w:t>
      </w:r>
      <w:r w:rsidRPr="0021610D">
        <w:rPr>
          <w:bCs/>
          <w:color w:val="000000" w:themeColor="text1"/>
        </w:rPr>
        <w:t xml:space="preserve"> un problema </w:t>
      </w:r>
      <w:r>
        <w:rPr>
          <w:bCs/>
          <w:color w:val="000000" w:themeColor="text1"/>
        </w:rPr>
        <w:t xml:space="preserve">importante </w:t>
      </w:r>
      <w:r w:rsidRPr="0021610D">
        <w:rPr>
          <w:bCs/>
          <w:color w:val="000000" w:themeColor="text1"/>
        </w:rPr>
        <w:t>de salud pública</w:t>
      </w:r>
      <w:r>
        <w:rPr>
          <w:bCs/>
          <w:color w:val="000000" w:themeColor="text1"/>
        </w:rPr>
        <w:t xml:space="preserve"> en Chile y Sudamérica,</w:t>
      </w:r>
      <w:r w:rsidRPr="0021610D">
        <w:rPr>
          <w:bCs/>
          <w:color w:val="000000" w:themeColor="text1"/>
        </w:rPr>
        <w:t xml:space="preserve"> por la mayor tasa de compromiso cutáneo-visceral asociado a </w:t>
      </w:r>
      <w:r w:rsidRPr="00FF113E">
        <w:rPr>
          <w:bCs/>
          <w:i/>
          <w:color w:val="000000" w:themeColor="text1"/>
        </w:rPr>
        <w:t>L</w:t>
      </w:r>
      <w:r w:rsidR="00E92BAF">
        <w:rPr>
          <w:bCs/>
          <w:i/>
          <w:color w:val="000000" w:themeColor="text1"/>
        </w:rPr>
        <w:t>oxosceles</w:t>
      </w:r>
      <w:r w:rsidRPr="00FF113E">
        <w:rPr>
          <w:bCs/>
          <w:i/>
          <w:color w:val="000000" w:themeColor="text1"/>
        </w:rPr>
        <w:t xml:space="preserve"> laet</w:t>
      </w:r>
      <w:r>
        <w:rPr>
          <w:bCs/>
          <w:i/>
          <w:color w:val="000000" w:themeColor="text1"/>
        </w:rPr>
        <w:t>a</w:t>
      </w:r>
      <w:r>
        <w:rPr>
          <w:bCs/>
          <w:iCs/>
          <w:color w:val="000000" w:themeColor="text1"/>
        </w:rPr>
        <w:t xml:space="preserve">. El diagnóstico de loxoscelismo es fundamentalmente clínico, sin criterios diagnósticos establecidos. Existe poca evidencia para </w:t>
      </w:r>
      <w:r w:rsidR="00D404F3">
        <w:rPr>
          <w:bCs/>
          <w:iCs/>
          <w:color w:val="000000" w:themeColor="text1"/>
        </w:rPr>
        <w:t>a</w:t>
      </w:r>
      <w:r>
        <w:rPr>
          <w:bCs/>
          <w:iCs/>
          <w:color w:val="000000" w:themeColor="text1"/>
        </w:rPr>
        <w:t>poyar cualquiera de los tratamientos usados en el tratamiento del loxoscelismo.</w:t>
      </w:r>
      <w:r w:rsidR="00D404F3">
        <w:rPr>
          <w:bCs/>
          <w:iCs/>
          <w:color w:val="000000" w:themeColor="text1"/>
          <w:vertAlign w:val="superscript"/>
        </w:rPr>
        <w:t xml:space="preserve"> </w:t>
      </w:r>
      <w:r>
        <w:rPr>
          <w:b/>
          <w:color w:val="000000" w:themeColor="text1"/>
        </w:rPr>
        <w:t xml:space="preserve">Objetivo: </w:t>
      </w:r>
      <w:r>
        <w:rPr>
          <w:bCs/>
          <w:color w:val="000000" w:themeColor="text1"/>
        </w:rPr>
        <w:t>C</w:t>
      </w:r>
      <w:r w:rsidRPr="0021610D">
        <w:rPr>
          <w:bCs/>
          <w:color w:val="000000" w:themeColor="text1"/>
        </w:rPr>
        <w:t>aracteriz</w:t>
      </w:r>
      <w:r>
        <w:rPr>
          <w:bCs/>
          <w:color w:val="000000" w:themeColor="text1"/>
        </w:rPr>
        <w:t>ar la</w:t>
      </w:r>
      <w:r w:rsidRPr="0021610D">
        <w:rPr>
          <w:bCs/>
          <w:color w:val="000000" w:themeColor="text1"/>
        </w:rPr>
        <w:t xml:space="preserve"> clínica y epidemiol</w:t>
      </w:r>
      <w:r>
        <w:rPr>
          <w:bCs/>
          <w:color w:val="000000" w:themeColor="text1"/>
        </w:rPr>
        <w:t>ogía</w:t>
      </w:r>
      <w:r w:rsidRPr="0021610D">
        <w:rPr>
          <w:bCs/>
          <w:color w:val="000000" w:themeColor="text1"/>
        </w:rPr>
        <w:t xml:space="preserve"> de</w:t>
      </w:r>
      <w:r>
        <w:rPr>
          <w:bCs/>
          <w:color w:val="000000" w:themeColor="text1"/>
        </w:rPr>
        <w:t>l</w:t>
      </w:r>
      <w:r w:rsidRPr="0021610D">
        <w:rPr>
          <w:bCs/>
          <w:color w:val="000000" w:themeColor="text1"/>
        </w:rPr>
        <w:t xml:space="preserve"> </w:t>
      </w:r>
      <w:r>
        <w:rPr>
          <w:bCs/>
          <w:color w:val="000000" w:themeColor="text1"/>
        </w:rPr>
        <w:t xml:space="preserve">loxoscelismo </w:t>
      </w:r>
      <w:r w:rsidRPr="0021610D">
        <w:rPr>
          <w:bCs/>
          <w:color w:val="000000" w:themeColor="text1"/>
        </w:rPr>
        <w:t xml:space="preserve">en pacientes atendidos </w:t>
      </w:r>
      <w:r w:rsidR="008D30FA">
        <w:rPr>
          <w:bCs/>
          <w:color w:val="000000" w:themeColor="text1"/>
        </w:rPr>
        <w:t>en el Servicio de Urgencia y Dermatología de</w:t>
      </w:r>
      <w:r w:rsidRPr="0021610D">
        <w:rPr>
          <w:bCs/>
          <w:color w:val="000000" w:themeColor="text1"/>
        </w:rPr>
        <w:t xml:space="preserve"> </w:t>
      </w:r>
      <w:r>
        <w:rPr>
          <w:bCs/>
          <w:color w:val="000000" w:themeColor="text1"/>
        </w:rPr>
        <w:t>la</w:t>
      </w:r>
      <w:r w:rsidRPr="0021610D">
        <w:rPr>
          <w:bCs/>
          <w:color w:val="000000" w:themeColor="text1"/>
        </w:rPr>
        <w:t xml:space="preserve"> </w:t>
      </w:r>
      <w:r>
        <w:rPr>
          <w:bCs/>
          <w:color w:val="000000" w:themeColor="text1"/>
        </w:rPr>
        <w:t>Red de Salud UC-Christus</w:t>
      </w:r>
      <w:r w:rsidR="00E92BAF">
        <w:rPr>
          <w:bCs/>
          <w:color w:val="000000" w:themeColor="text1"/>
        </w:rPr>
        <w:t xml:space="preserve"> entre los años 2013 y 2017</w:t>
      </w:r>
      <w:r>
        <w:rPr>
          <w:bCs/>
          <w:color w:val="000000" w:themeColor="text1"/>
        </w:rPr>
        <w:t xml:space="preserve">. </w:t>
      </w:r>
      <w:r>
        <w:rPr>
          <w:b/>
          <w:color w:val="000000" w:themeColor="text1"/>
        </w:rPr>
        <w:t xml:space="preserve">Método: </w:t>
      </w:r>
      <w:r w:rsidRPr="00BD3436">
        <w:rPr>
          <w:color w:val="000000" w:themeColor="text1"/>
        </w:rPr>
        <w:t xml:space="preserve">Estudio observacional, retrospectivo. </w:t>
      </w:r>
      <w:r>
        <w:rPr>
          <w:color w:val="000000" w:themeColor="text1"/>
        </w:rPr>
        <w:t>Se seleccion</w:t>
      </w:r>
      <w:r w:rsidR="000A47DD">
        <w:rPr>
          <w:color w:val="000000" w:themeColor="text1"/>
        </w:rPr>
        <w:t xml:space="preserve">ó </w:t>
      </w:r>
      <w:r>
        <w:rPr>
          <w:color w:val="000000" w:themeColor="text1"/>
        </w:rPr>
        <w:t>a los pacientes</w:t>
      </w:r>
      <w:r w:rsidR="000A47DD">
        <w:rPr>
          <w:color w:val="000000" w:themeColor="text1"/>
        </w:rPr>
        <w:t xml:space="preserve"> registrados en el sistema de ficha clínica electrónica</w:t>
      </w:r>
      <w:r>
        <w:rPr>
          <w:color w:val="000000" w:themeColor="text1"/>
        </w:rPr>
        <w:t xml:space="preserve"> con diagnóstico confirmado de loxoscelismo</w:t>
      </w:r>
      <w:r w:rsidR="000A47DD">
        <w:rPr>
          <w:bCs/>
          <w:color w:val="000000" w:themeColor="text1"/>
        </w:rPr>
        <w:t>. Se analizaron variables epidemiológicas, clínica</w:t>
      </w:r>
      <w:r w:rsidR="00E92BAF">
        <w:rPr>
          <w:bCs/>
          <w:color w:val="000000" w:themeColor="text1"/>
        </w:rPr>
        <w:t>s</w:t>
      </w:r>
      <w:r w:rsidR="000A47DD">
        <w:rPr>
          <w:bCs/>
          <w:color w:val="000000" w:themeColor="text1"/>
        </w:rPr>
        <w:t xml:space="preserve">, exámenes de laboratorio y tratamiento. </w:t>
      </w:r>
      <w:r>
        <w:rPr>
          <w:b/>
          <w:color w:val="000000" w:themeColor="text1"/>
        </w:rPr>
        <w:t xml:space="preserve">Resultados: </w:t>
      </w:r>
      <w:r w:rsidR="000A47DD">
        <w:rPr>
          <w:bCs/>
          <w:color w:val="000000" w:themeColor="text1"/>
        </w:rPr>
        <w:t xml:space="preserve">Se </w:t>
      </w:r>
      <w:r w:rsidR="00826638">
        <w:rPr>
          <w:bCs/>
          <w:color w:val="000000" w:themeColor="text1"/>
        </w:rPr>
        <w:t>incluyeron</w:t>
      </w:r>
      <w:r w:rsidR="000A47DD">
        <w:rPr>
          <w:bCs/>
          <w:color w:val="000000" w:themeColor="text1"/>
        </w:rPr>
        <w:t xml:space="preserve"> 200 pacientes. </w:t>
      </w:r>
      <w:r w:rsidR="00826638">
        <w:rPr>
          <w:bCs/>
          <w:color w:val="000000" w:themeColor="text1"/>
        </w:rPr>
        <w:t xml:space="preserve">Un </w:t>
      </w:r>
      <w:r w:rsidR="000A47DD" w:rsidRPr="008C1A27">
        <w:t>94,5%</w:t>
      </w:r>
      <w:r w:rsidR="00C115D4">
        <w:t xml:space="preserve"> </w:t>
      </w:r>
      <w:r w:rsidR="000A47DD" w:rsidRPr="008C1A27">
        <w:t>present</w:t>
      </w:r>
      <w:r w:rsidR="000A47DD">
        <w:t>ó</w:t>
      </w:r>
      <w:r w:rsidR="000A47DD" w:rsidRPr="008C1A27">
        <w:t xml:space="preserve"> </w:t>
      </w:r>
      <w:r w:rsidR="000A47DD">
        <w:t>loxoscelimo cutáne</w:t>
      </w:r>
      <w:r w:rsidR="00C115D4">
        <w:t>o</w:t>
      </w:r>
      <w:r w:rsidR="000A47DD">
        <w:t xml:space="preserve"> y</w:t>
      </w:r>
      <w:r w:rsidR="000A47DD" w:rsidRPr="008C1A27">
        <w:t xml:space="preserve"> </w:t>
      </w:r>
      <w:r w:rsidR="00826638">
        <w:t xml:space="preserve">un </w:t>
      </w:r>
      <w:r w:rsidR="000A47DD" w:rsidRPr="008C1A27">
        <w:t xml:space="preserve">5,5% </w:t>
      </w:r>
      <w:r w:rsidR="000A47DD">
        <w:t xml:space="preserve">cutáneo-visceral. </w:t>
      </w:r>
      <w:r w:rsidR="000A47DD" w:rsidRPr="008C1A27">
        <w:t xml:space="preserve">El </w:t>
      </w:r>
      <w:r w:rsidR="00F94C31">
        <w:t>72,7</w:t>
      </w:r>
      <w:r w:rsidR="000A47DD" w:rsidRPr="008C1A27">
        <w:t>%</w:t>
      </w:r>
      <w:r w:rsidR="00826638">
        <w:t xml:space="preserve"> de los pacientes</w:t>
      </w:r>
      <w:r w:rsidR="00E92BAF">
        <w:t xml:space="preserve"> con loxoscelismo cutáneo-visceral</w:t>
      </w:r>
      <w:r w:rsidR="000A47DD" w:rsidRPr="008C1A27">
        <w:t xml:space="preserve"> present</w:t>
      </w:r>
      <w:r w:rsidR="000A47DD">
        <w:t>ó</w:t>
      </w:r>
      <w:r w:rsidR="000A47DD" w:rsidRPr="008C1A27">
        <w:t xml:space="preserve"> síntomas sistémicos (p&lt;0,001)</w:t>
      </w:r>
      <w:r w:rsidR="00826638">
        <w:rPr>
          <w:b/>
        </w:rPr>
        <w:t xml:space="preserve">. </w:t>
      </w:r>
      <w:r w:rsidR="00826638" w:rsidRPr="008C1A27">
        <w:t xml:space="preserve">Los pacientes </w:t>
      </w:r>
      <w:r w:rsidR="00E92BAF">
        <w:t>con</w:t>
      </w:r>
      <w:r w:rsidR="00826638" w:rsidRPr="008C1A27">
        <w:t xml:space="preserve"> síntomas sistémicos tuvieron un riesgo </w:t>
      </w:r>
      <w:r w:rsidR="00F94C31">
        <w:t>18,7</w:t>
      </w:r>
      <w:r w:rsidR="00826638" w:rsidRPr="008C1A27">
        <w:t xml:space="preserve"> veces mayor de presentar</w:t>
      </w:r>
      <w:r w:rsidR="00826638">
        <w:t xml:space="preserve"> </w:t>
      </w:r>
      <w:r w:rsidR="00E92BAF">
        <w:t>loxoscelismo cutáneo-</w:t>
      </w:r>
      <w:r w:rsidR="00E92BAF" w:rsidRPr="00F94C31">
        <w:t>visceral</w:t>
      </w:r>
      <w:r w:rsidR="00F94C31" w:rsidRPr="00F94C31">
        <w:t xml:space="preserve"> (p &lt;0,0001)</w:t>
      </w:r>
      <w:r w:rsidR="00826638" w:rsidRPr="00F94C31">
        <w:t>.</w:t>
      </w:r>
      <w:r w:rsidR="00826638">
        <w:t xml:space="preserve"> Los pacientes con </w:t>
      </w:r>
      <w:r w:rsidR="00E92BAF">
        <w:t>loxoscelismo cutáneo-visceral</w:t>
      </w:r>
      <w:r w:rsidR="00826638">
        <w:t xml:space="preserve"> presentaron con mayor frecuencia alteraciones en los exámenes de laboratorio. No todos los pacientes con hematuria presentaron </w:t>
      </w:r>
      <w:r w:rsidR="00E92BAF">
        <w:t>loxoscelismo cutáneo-visceral</w:t>
      </w:r>
      <w:r w:rsidR="00826638">
        <w:t>. La mayoría de los pacientes requirió analgesia. En ningún paciente se utilizó suero anti-loxosceles</w:t>
      </w:r>
      <w:r w:rsidR="00D404F3">
        <w:t>.</w:t>
      </w:r>
      <w:r w:rsidR="00826638">
        <w:rPr>
          <w:b/>
          <w:color w:val="000000" w:themeColor="text1"/>
        </w:rPr>
        <w:t xml:space="preserve"> </w:t>
      </w:r>
      <w:r>
        <w:rPr>
          <w:b/>
          <w:color w:val="000000" w:themeColor="text1"/>
        </w:rPr>
        <w:t xml:space="preserve">Discusión: </w:t>
      </w:r>
      <w:r w:rsidR="00826638">
        <w:rPr>
          <w:bCs/>
          <w:color w:val="000000" w:themeColor="text1"/>
        </w:rPr>
        <w:t xml:space="preserve">Quedan muchas interrogantes por responder respecto al diagnóstico y tratamiento de la enfermedad. Se requieren estudios que validen criterios diagnósticos para </w:t>
      </w:r>
      <w:r w:rsidR="00E92BAF">
        <w:rPr>
          <w:bCs/>
          <w:color w:val="000000" w:themeColor="text1"/>
        </w:rPr>
        <w:t>loxoscelismo</w:t>
      </w:r>
      <w:r w:rsidR="00A94192">
        <w:rPr>
          <w:bCs/>
          <w:color w:val="000000" w:themeColor="text1"/>
        </w:rPr>
        <w:t xml:space="preserve">, que evalúen las mejores variables predictoras de compromiso visceral, y que evalúen la respuesta a tratamientos. </w:t>
      </w:r>
    </w:p>
    <w:p w14:paraId="368E3CC1" w14:textId="77777777" w:rsidR="001F1515" w:rsidRPr="000A47DD" w:rsidRDefault="001F1515" w:rsidP="009B5F22">
      <w:pPr>
        <w:widowControl w:val="0"/>
        <w:autoSpaceDE w:val="0"/>
        <w:autoSpaceDN w:val="0"/>
        <w:adjustRightInd w:val="0"/>
        <w:spacing w:after="240" w:line="360" w:lineRule="auto"/>
      </w:pPr>
    </w:p>
    <w:p w14:paraId="09BD769B" w14:textId="77777777" w:rsidR="001F1515" w:rsidRDefault="001F1515" w:rsidP="009B5F22">
      <w:pPr>
        <w:widowControl w:val="0"/>
        <w:autoSpaceDE w:val="0"/>
        <w:autoSpaceDN w:val="0"/>
        <w:adjustRightInd w:val="0"/>
        <w:spacing w:after="240" w:line="360" w:lineRule="auto"/>
        <w:rPr>
          <w:b/>
          <w:color w:val="000000" w:themeColor="text1"/>
          <w:lang w:val="en-US"/>
        </w:rPr>
      </w:pPr>
      <w:r>
        <w:rPr>
          <w:b/>
          <w:color w:val="000000" w:themeColor="text1"/>
          <w:lang w:val="en-US"/>
        </w:rPr>
        <w:t>Abstract</w:t>
      </w:r>
    </w:p>
    <w:p w14:paraId="447BDE84" w14:textId="77777777" w:rsidR="00130483" w:rsidRPr="00D404F3" w:rsidRDefault="00D404F3" w:rsidP="009B5F22">
      <w:pPr>
        <w:widowControl w:val="0"/>
        <w:autoSpaceDE w:val="0"/>
        <w:autoSpaceDN w:val="0"/>
        <w:adjustRightInd w:val="0"/>
        <w:spacing w:after="240" w:line="360" w:lineRule="auto"/>
        <w:rPr>
          <w:bCs/>
          <w:color w:val="000000" w:themeColor="text1"/>
          <w:lang w:val="en-US"/>
        </w:rPr>
      </w:pPr>
      <w:r w:rsidRPr="00D404F3">
        <w:rPr>
          <w:b/>
          <w:color w:val="000000" w:themeColor="text1"/>
          <w:lang w:val="en-US"/>
        </w:rPr>
        <w:t>Introduction:</w:t>
      </w:r>
      <w:r w:rsidRPr="00D404F3">
        <w:rPr>
          <w:bCs/>
          <w:color w:val="000000" w:themeColor="text1"/>
          <w:lang w:val="en-US"/>
        </w:rPr>
        <w:t xml:space="preserve"> </w:t>
      </w:r>
      <w:proofErr w:type="spellStart"/>
      <w:r w:rsidRPr="00D404F3">
        <w:rPr>
          <w:bCs/>
          <w:color w:val="000000" w:themeColor="text1"/>
          <w:lang w:val="en-US"/>
        </w:rPr>
        <w:t>Loxoscelism</w:t>
      </w:r>
      <w:proofErr w:type="spellEnd"/>
      <w:r w:rsidRPr="00D404F3">
        <w:rPr>
          <w:bCs/>
          <w:color w:val="000000" w:themeColor="text1"/>
          <w:lang w:val="en-US"/>
        </w:rPr>
        <w:t xml:space="preserve"> is an important public health problem in Chile and South America, due to the higher rate of cutaneous-visceral compromise associated with </w:t>
      </w:r>
      <w:proofErr w:type="spellStart"/>
      <w:r w:rsidRPr="00D404F3">
        <w:rPr>
          <w:bCs/>
          <w:i/>
          <w:iCs/>
          <w:color w:val="000000" w:themeColor="text1"/>
          <w:lang w:val="en-US"/>
        </w:rPr>
        <w:lastRenderedPageBreak/>
        <w:t>L</w:t>
      </w:r>
      <w:r w:rsidR="00387F2D">
        <w:rPr>
          <w:bCs/>
          <w:i/>
          <w:iCs/>
          <w:color w:val="000000" w:themeColor="text1"/>
          <w:lang w:val="en-US"/>
        </w:rPr>
        <w:t>oxosceles</w:t>
      </w:r>
      <w:proofErr w:type="spellEnd"/>
      <w:r w:rsidRPr="00D404F3">
        <w:rPr>
          <w:bCs/>
          <w:i/>
          <w:iCs/>
          <w:color w:val="000000" w:themeColor="text1"/>
          <w:lang w:val="en-US"/>
        </w:rPr>
        <w:t xml:space="preserve"> </w:t>
      </w:r>
      <w:proofErr w:type="spellStart"/>
      <w:r w:rsidRPr="00D404F3">
        <w:rPr>
          <w:bCs/>
          <w:i/>
          <w:iCs/>
          <w:color w:val="000000" w:themeColor="text1"/>
          <w:lang w:val="en-US"/>
        </w:rPr>
        <w:t>laeta</w:t>
      </w:r>
      <w:proofErr w:type="spellEnd"/>
      <w:r w:rsidRPr="00D404F3">
        <w:rPr>
          <w:bCs/>
          <w:color w:val="000000" w:themeColor="text1"/>
          <w:lang w:val="en-US"/>
        </w:rPr>
        <w:t xml:space="preserve">. The diagnosis of </w:t>
      </w:r>
      <w:proofErr w:type="spellStart"/>
      <w:r w:rsidRPr="00D404F3">
        <w:rPr>
          <w:bCs/>
          <w:color w:val="000000" w:themeColor="text1"/>
          <w:lang w:val="en-US"/>
        </w:rPr>
        <w:t>loxoscelism</w:t>
      </w:r>
      <w:proofErr w:type="spellEnd"/>
      <w:r w:rsidRPr="00D404F3">
        <w:rPr>
          <w:bCs/>
          <w:color w:val="000000" w:themeColor="text1"/>
          <w:lang w:val="en-US"/>
        </w:rPr>
        <w:t xml:space="preserve"> is </w:t>
      </w:r>
      <w:r>
        <w:rPr>
          <w:bCs/>
          <w:color w:val="000000" w:themeColor="text1"/>
          <w:lang w:val="en-US"/>
        </w:rPr>
        <w:t>mostly</w:t>
      </w:r>
      <w:r w:rsidRPr="00D404F3">
        <w:rPr>
          <w:bCs/>
          <w:color w:val="000000" w:themeColor="text1"/>
          <w:lang w:val="en-US"/>
        </w:rPr>
        <w:t xml:space="preserve"> clinical without established diagnostic criteria. There is little evidence to support any treatment used in </w:t>
      </w:r>
      <w:proofErr w:type="spellStart"/>
      <w:r w:rsidRPr="00D404F3">
        <w:rPr>
          <w:bCs/>
          <w:color w:val="000000" w:themeColor="text1"/>
          <w:lang w:val="en-US"/>
        </w:rPr>
        <w:t>loxoscelism</w:t>
      </w:r>
      <w:proofErr w:type="spellEnd"/>
      <w:r w:rsidRPr="00D404F3">
        <w:rPr>
          <w:bCs/>
          <w:color w:val="000000" w:themeColor="text1"/>
          <w:lang w:val="en-US"/>
        </w:rPr>
        <w:t xml:space="preserve">. </w:t>
      </w:r>
      <w:r w:rsidRPr="00D404F3">
        <w:rPr>
          <w:b/>
          <w:color w:val="000000" w:themeColor="text1"/>
          <w:lang w:val="en-US"/>
        </w:rPr>
        <w:t>Objective:</w:t>
      </w:r>
      <w:r w:rsidRPr="00D404F3">
        <w:rPr>
          <w:bCs/>
          <w:color w:val="000000" w:themeColor="text1"/>
          <w:lang w:val="en-US"/>
        </w:rPr>
        <w:t xml:space="preserve"> To characterize the clinic and epidemiology of </w:t>
      </w:r>
      <w:proofErr w:type="spellStart"/>
      <w:r w:rsidRPr="00D404F3">
        <w:rPr>
          <w:bCs/>
          <w:color w:val="000000" w:themeColor="text1"/>
          <w:lang w:val="en-US"/>
        </w:rPr>
        <w:t>loxoscelism</w:t>
      </w:r>
      <w:proofErr w:type="spellEnd"/>
      <w:r w:rsidRPr="00D404F3">
        <w:rPr>
          <w:bCs/>
          <w:color w:val="000000" w:themeColor="text1"/>
          <w:lang w:val="en-US"/>
        </w:rPr>
        <w:t xml:space="preserve"> in </w:t>
      </w:r>
      <w:r>
        <w:rPr>
          <w:bCs/>
          <w:color w:val="000000" w:themeColor="text1"/>
          <w:lang w:val="en-US"/>
        </w:rPr>
        <w:t xml:space="preserve">consulting </w:t>
      </w:r>
      <w:r w:rsidRPr="00D404F3">
        <w:rPr>
          <w:bCs/>
          <w:color w:val="000000" w:themeColor="text1"/>
          <w:lang w:val="en-US"/>
        </w:rPr>
        <w:t>patient</w:t>
      </w:r>
      <w:r>
        <w:rPr>
          <w:bCs/>
          <w:color w:val="000000" w:themeColor="text1"/>
          <w:lang w:val="en-US"/>
        </w:rPr>
        <w:t xml:space="preserve">s </w:t>
      </w:r>
      <w:r w:rsidR="00A94192">
        <w:rPr>
          <w:bCs/>
          <w:color w:val="000000" w:themeColor="text1"/>
          <w:lang w:val="en-US"/>
        </w:rPr>
        <w:t>in</w:t>
      </w:r>
      <w:r w:rsidR="00A94192" w:rsidRPr="00D404F3">
        <w:rPr>
          <w:bCs/>
          <w:color w:val="000000" w:themeColor="text1"/>
          <w:lang w:val="en-US"/>
        </w:rPr>
        <w:t xml:space="preserve"> the Emergency and Dermatology Service</w:t>
      </w:r>
      <w:r w:rsidR="00A94192">
        <w:rPr>
          <w:bCs/>
          <w:color w:val="000000" w:themeColor="text1"/>
          <w:lang w:val="en-US"/>
        </w:rPr>
        <w:t>s</w:t>
      </w:r>
      <w:r w:rsidR="00A94192" w:rsidRPr="00D404F3">
        <w:rPr>
          <w:bCs/>
          <w:color w:val="000000" w:themeColor="text1"/>
          <w:lang w:val="en-US"/>
        </w:rPr>
        <w:t xml:space="preserve"> </w:t>
      </w:r>
      <w:r>
        <w:rPr>
          <w:bCs/>
          <w:color w:val="000000" w:themeColor="text1"/>
          <w:lang w:val="en-US"/>
        </w:rPr>
        <w:t xml:space="preserve">of the Red de </w:t>
      </w:r>
      <w:proofErr w:type="spellStart"/>
      <w:r>
        <w:rPr>
          <w:bCs/>
          <w:color w:val="000000" w:themeColor="text1"/>
          <w:lang w:val="en-US"/>
        </w:rPr>
        <w:t>Salud</w:t>
      </w:r>
      <w:proofErr w:type="spellEnd"/>
      <w:r w:rsidRPr="00D404F3">
        <w:rPr>
          <w:bCs/>
          <w:color w:val="000000" w:themeColor="text1"/>
          <w:lang w:val="en-US"/>
        </w:rPr>
        <w:t xml:space="preserve"> UC-</w:t>
      </w:r>
      <w:proofErr w:type="spellStart"/>
      <w:r w:rsidRPr="00D404F3">
        <w:rPr>
          <w:bCs/>
          <w:color w:val="000000" w:themeColor="text1"/>
          <w:lang w:val="en-US"/>
        </w:rPr>
        <w:t>Christus</w:t>
      </w:r>
      <w:proofErr w:type="spellEnd"/>
      <w:r w:rsidR="00387F2D">
        <w:rPr>
          <w:bCs/>
          <w:color w:val="000000" w:themeColor="text1"/>
          <w:lang w:val="en-US"/>
        </w:rPr>
        <w:t xml:space="preserve"> between 2013 and 2017</w:t>
      </w:r>
      <w:r w:rsidRPr="00D404F3">
        <w:rPr>
          <w:bCs/>
          <w:color w:val="000000" w:themeColor="text1"/>
          <w:lang w:val="en-US"/>
        </w:rPr>
        <w:t xml:space="preserve">. </w:t>
      </w:r>
      <w:r w:rsidRPr="00D404F3">
        <w:rPr>
          <w:b/>
          <w:color w:val="000000" w:themeColor="text1"/>
          <w:lang w:val="en-US"/>
        </w:rPr>
        <w:t xml:space="preserve">Method: </w:t>
      </w:r>
      <w:r w:rsidRPr="00D404F3">
        <w:rPr>
          <w:bCs/>
          <w:color w:val="000000" w:themeColor="text1"/>
          <w:lang w:val="en-US"/>
        </w:rPr>
        <w:t xml:space="preserve">Observational, retrospective study. Patients registered in the electronic clinical record system with confirmed diagnosis of </w:t>
      </w:r>
      <w:proofErr w:type="spellStart"/>
      <w:r w:rsidRPr="00D404F3">
        <w:rPr>
          <w:bCs/>
          <w:color w:val="000000" w:themeColor="text1"/>
          <w:lang w:val="en-US"/>
        </w:rPr>
        <w:t>loxoscelism</w:t>
      </w:r>
      <w:proofErr w:type="spellEnd"/>
      <w:r w:rsidRPr="00D404F3">
        <w:rPr>
          <w:bCs/>
          <w:color w:val="000000" w:themeColor="text1"/>
          <w:lang w:val="en-US"/>
        </w:rPr>
        <w:t xml:space="preserve"> </w:t>
      </w:r>
      <w:r w:rsidR="009A4BF2">
        <w:rPr>
          <w:bCs/>
          <w:color w:val="000000" w:themeColor="text1"/>
          <w:lang w:val="en-US"/>
        </w:rPr>
        <w:t>were analyzed</w:t>
      </w:r>
      <w:r w:rsidRPr="00D404F3">
        <w:rPr>
          <w:bCs/>
          <w:color w:val="000000" w:themeColor="text1"/>
          <w:lang w:val="en-US"/>
        </w:rPr>
        <w:t>. Epidemiological, clinical, laboratory tests and treatment variables were analyzed.</w:t>
      </w:r>
      <w:r>
        <w:rPr>
          <w:bCs/>
          <w:color w:val="000000" w:themeColor="text1"/>
          <w:lang w:val="en-US"/>
        </w:rPr>
        <w:t xml:space="preserve"> </w:t>
      </w:r>
      <w:r w:rsidRPr="00D404F3">
        <w:rPr>
          <w:b/>
          <w:color w:val="000000" w:themeColor="text1"/>
          <w:lang w:val="en-US"/>
        </w:rPr>
        <w:t>Results:</w:t>
      </w:r>
      <w:r w:rsidRPr="00D404F3">
        <w:rPr>
          <w:bCs/>
          <w:color w:val="000000" w:themeColor="text1"/>
          <w:lang w:val="en-US"/>
        </w:rPr>
        <w:t xml:space="preserve"> 200 patients were included. 94.5% presented cutaneous </w:t>
      </w:r>
      <w:proofErr w:type="spellStart"/>
      <w:r w:rsidRPr="00D404F3">
        <w:rPr>
          <w:bCs/>
          <w:color w:val="000000" w:themeColor="text1"/>
          <w:lang w:val="en-US"/>
        </w:rPr>
        <w:t>loxosceli</w:t>
      </w:r>
      <w:r>
        <w:rPr>
          <w:bCs/>
          <w:color w:val="000000" w:themeColor="text1"/>
          <w:lang w:val="en-US"/>
        </w:rPr>
        <w:t>sm</w:t>
      </w:r>
      <w:proofErr w:type="spellEnd"/>
      <w:r w:rsidRPr="00D404F3">
        <w:rPr>
          <w:bCs/>
          <w:color w:val="000000" w:themeColor="text1"/>
          <w:lang w:val="en-US"/>
        </w:rPr>
        <w:t xml:space="preserve"> and 5.5% cutaneous-visceral </w:t>
      </w:r>
      <w:proofErr w:type="spellStart"/>
      <w:r w:rsidR="009A4BF2">
        <w:rPr>
          <w:bCs/>
          <w:color w:val="000000" w:themeColor="text1"/>
          <w:lang w:val="en-US"/>
        </w:rPr>
        <w:t>loxoscelism</w:t>
      </w:r>
      <w:proofErr w:type="spellEnd"/>
      <w:r w:rsidRPr="00D404F3">
        <w:rPr>
          <w:bCs/>
          <w:color w:val="000000" w:themeColor="text1"/>
          <w:lang w:val="en-US"/>
        </w:rPr>
        <w:t xml:space="preserve">. </w:t>
      </w:r>
      <w:r w:rsidR="00A94192">
        <w:rPr>
          <w:bCs/>
          <w:color w:val="000000" w:themeColor="text1"/>
          <w:lang w:val="en-US"/>
        </w:rPr>
        <w:t>72,7</w:t>
      </w:r>
      <w:r w:rsidRPr="00D404F3">
        <w:rPr>
          <w:bCs/>
          <w:color w:val="000000" w:themeColor="text1"/>
          <w:lang w:val="en-US"/>
        </w:rPr>
        <w:t xml:space="preserve">% of patients </w:t>
      </w:r>
      <w:r w:rsidR="00387F2D">
        <w:rPr>
          <w:bCs/>
          <w:color w:val="000000" w:themeColor="text1"/>
          <w:lang w:val="en-US"/>
        </w:rPr>
        <w:t>with</w:t>
      </w:r>
      <w:r w:rsidR="00387F2D" w:rsidRPr="00387F2D">
        <w:rPr>
          <w:bCs/>
          <w:color w:val="000000" w:themeColor="text1"/>
          <w:lang w:val="en-US"/>
        </w:rPr>
        <w:t xml:space="preserve"> </w:t>
      </w:r>
      <w:r w:rsidR="00387F2D" w:rsidRPr="00D404F3">
        <w:rPr>
          <w:bCs/>
          <w:color w:val="000000" w:themeColor="text1"/>
          <w:lang w:val="en-US"/>
        </w:rPr>
        <w:t xml:space="preserve">cutaneous-visceral </w:t>
      </w:r>
      <w:proofErr w:type="spellStart"/>
      <w:r w:rsidR="00387F2D">
        <w:rPr>
          <w:bCs/>
          <w:color w:val="000000" w:themeColor="text1"/>
          <w:lang w:val="en-US"/>
        </w:rPr>
        <w:t>loxoscelism</w:t>
      </w:r>
      <w:proofErr w:type="spellEnd"/>
      <w:r w:rsidR="00387F2D">
        <w:rPr>
          <w:bCs/>
          <w:color w:val="000000" w:themeColor="text1"/>
          <w:lang w:val="en-US"/>
        </w:rPr>
        <w:t xml:space="preserve"> </w:t>
      </w:r>
      <w:r w:rsidRPr="00D404F3">
        <w:rPr>
          <w:bCs/>
          <w:color w:val="000000" w:themeColor="text1"/>
          <w:lang w:val="en-US"/>
        </w:rPr>
        <w:t>presented systemic symptoms (p &lt;0.001). Patients who developed systemic symptoms had</w:t>
      </w:r>
      <w:r w:rsidR="00A94192">
        <w:rPr>
          <w:bCs/>
          <w:color w:val="000000" w:themeColor="text1"/>
          <w:lang w:val="en-US"/>
        </w:rPr>
        <w:t xml:space="preserve"> </w:t>
      </w:r>
      <w:r w:rsidRPr="00D404F3">
        <w:rPr>
          <w:bCs/>
          <w:color w:val="000000" w:themeColor="text1"/>
          <w:lang w:val="en-US"/>
        </w:rPr>
        <w:t>1</w:t>
      </w:r>
      <w:r w:rsidR="00A94192">
        <w:rPr>
          <w:bCs/>
          <w:color w:val="000000" w:themeColor="text1"/>
          <w:lang w:val="en-US"/>
        </w:rPr>
        <w:t>8</w:t>
      </w:r>
      <w:r w:rsidRPr="00D404F3">
        <w:rPr>
          <w:bCs/>
          <w:color w:val="000000" w:themeColor="text1"/>
          <w:lang w:val="en-US"/>
        </w:rPr>
        <w:t>.</w:t>
      </w:r>
      <w:r w:rsidR="00A94192">
        <w:rPr>
          <w:bCs/>
          <w:color w:val="000000" w:themeColor="text1"/>
          <w:lang w:val="en-US"/>
        </w:rPr>
        <w:t>7</w:t>
      </w:r>
      <w:r w:rsidRPr="00D404F3">
        <w:rPr>
          <w:bCs/>
          <w:color w:val="000000" w:themeColor="text1"/>
          <w:lang w:val="en-US"/>
        </w:rPr>
        <w:t xml:space="preserve"> increased risk of developing </w:t>
      </w:r>
      <w:r w:rsidR="00387F2D" w:rsidRPr="00D404F3">
        <w:rPr>
          <w:bCs/>
          <w:color w:val="000000" w:themeColor="text1"/>
          <w:lang w:val="en-US"/>
        </w:rPr>
        <w:t xml:space="preserve">cutaneous-visceral </w:t>
      </w:r>
      <w:proofErr w:type="spellStart"/>
      <w:r w:rsidR="00387F2D">
        <w:rPr>
          <w:bCs/>
          <w:color w:val="000000" w:themeColor="text1"/>
          <w:lang w:val="en-US"/>
        </w:rPr>
        <w:t>loxoscelism</w:t>
      </w:r>
      <w:proofErr w:type="spellEnd"/>
      <w:r w:rsidRPr="00D404F3">
        <w:rPr>
          <w:bCs/>
          <w:color w:val="000000" w:themeColor="text1"/>
          <w:lang w:val="en-US"/>
        </w:rPr>
        <w:t xml:space="preserve">. </w:t>
      </w:r>
      <w:r w:rsidR="009A4BF2">
        <w:rPr>
          <w:bCs/>
          <w:color w:val="000000" w:themeColor="text1"/>
          <w:lang w:val="en-US"/>
        </w:rPr>
        <w:t>P</w:t>
      </w:r>
      <w:r w:rsidRPr="00D404F3">
        <w:rPr>
          <w:bCs/>
          <w:color w:val="000000" w:themeColor="text1"/>
          <w:lang w:val="en-US"/>
        </w:rPr>
        <w:t xml:space="preserve">atients with </w:t>
      </w:r>
      <w:r w:rsidR="00387F2D" w:rsidRPr="00D404F3">
        <w:rPr>
          <w:bCs/>
          <w:color w:val="000000" w:themeColor="text1"/>
          <w:lang w:val="en-US"/>
        </w:rPr>
        <w:t xml:space="preserve">cutaneous-visceral </w:t>
      </w:r>
      <w:proofErr w:type="spellStart"/>
      <w:r w:rsidR="00387F2D">
        <w:rPr>
          <w:bCs/>
          <w:color w:val="000000" w:themeColor="text1"/>
          <w:lang w:val="en-US"/>
        </w:rPr>
        <w:t>loxoscelism</w:t>
      </w:r>
      <w:proofErr w:type="spellEnd"/>
      <w:r w:rsidR="00387F2D">
        <w:rPr>
          <w:bCs/>
          <w:color w:val="000000" w:themeColor="text1"/>
          <w:lang w:val="en-US"/>
        </w:rPr>
        <w:t xml:space="preserve"> </w:t>
      </w:r>
      <w:r w:rsidRPr="00D404F3">
        <w:rPr>
          <w:bCs/>
          <w:color w:val="000000" w:themeColor="text1"/>
          <w:lang w:val="en-US"/>
        </w:rPr>
        <w:t xml:space="preserve">presented </w:t>
      </w:r>
      <w:r w:rsidR="009A4BF2">
        <w:rPr>
          <w:bCs/>
          <w:color w:val="000000" w:themeColor="text1"/>
          <w:lang w:val="en-US"/>
        </w:rPr>
        <w:t xml:space="preserve">with more frequency </w:t>
      </w:r>
      <w:r w:rsidRPr="00D404F3">
        <w:rPr>
          <w:bCs/>
          <w:color w:val="000000" w:themeColor="text1"/>
          <w:lang w:val="en-US"/>
        </w:rPr>
        <w:t xml:space="preserve">alterations in the laboratory. Not all patients with hematuria had </w:t>
      </w:r>
      <w:r w:rsidR="00387F2D" w:rsidRPr="00D404F3">
        <w:rPr>
          <w:bCs/>
          <w:color w:val="000000" w:themeColor="text1"/>
          <w:lang w:val="en-US"/>
        </w:rPr>
        <w:t xml:space="preserve">cutaneous-visceral </w:t>
      </w:r>
      <w:proofErr w:type="spellStart"/>
      <w:r w:rsidR="00387F2D">
        <w:rPr>
          <w:bCs/>
          <w:color w:val="000000" w:themeColor="text1"/>
          <w:lang w:val="en-US"/>
        </w:rPr>
        <w:t>loxoscelism</w:t>
      </w:r>
      <w:proofErr w:type="spellEnd"/>
      <w:r w:rsidRPr="00D404F3">
        <w:rPr>
          <w:bCs/>
          <w:color w:val="000000" w:themeColor="text1"/>
          <w:lang w:val="en-US"/>
        </w:rPr>
        <w:t>. Most patients required analgesia. Anti-</w:t>
      </w:r>
      <w:proofErr w:type="spellStart"/>
      <w:r w:rsidRPr="00D404F3">
        <w:rPr>
          <w:bCs/>
          <w:color w:val="000000" w:themeColor="text1"/>
          <w:lang w:val="en-US"/>
        </w:rPr>
        <w:t>loxosceles</w:t>
      </w:r>
      <w:proofErr w:type="spellEnd"/>
      <w:r w:rsidRPr="00D404F3">
        <w:rPr>
          <w:bCs/>
          <w:color w:val="000000" w:themeColor="text1"/>
          <w:lang w:val="en-US"/>
        </w:rPr>
        <w:t xml:space="preserve"> serum was not used in any patient.</w:t>
      </w:r>
      <w:r>
        <w:rPr>
          <w:bCs/>
          <w:color w:val="000000" w:themeColor="text1"/>
          <w:lang w:val="en-US"/>
        </w:rPr>
        <w:t xml:space="preserve"> </w:t>
      </w:r>
      <w:r w:rsidRPr="00D404F3">
        <w:rPr>
          <w:b/>
          <w:color w:val="000000" w:themeColor="text1"/>
          <w:lang w:val="en-US"/>
        </w:rPr>
        <w:t>Discussion:</w:t>
      </w:r>
      <w:r w:rsidRPr="00D404F3">
        <w:rPr>
          <w:bCs/>
          <w:color w:val="000000" w:themeColor="text1"/>
          <w:lang w:val="en-US"/>
        </w:rPr>
        <w:t xml:space="preserve"> Many questions remain to be answered regarding the diagnosis and treatment of the disease. Studies are required </w:t>
      </w:r>
      <w:r w:rsidR="009A4BF2">
        <w:rPr>
          <w:bCs/>
          <w:color w:val="000000" w:themeColor="text1"/>
          <w:lang w:val="en-US"/>
        </w:rPr>
        <w:t>to</w:t>
      </w:r>
      <w:r w:rsidRPr="00D404F3">
        <w:rPr>
          <w:bCs/>
          <w:color w:val="000000" w:themeColor="text1"/>
          <w:lang w:val="en-US"/>
        </w:rPr>
        <w:t xml:space="preserve"> validate diagnostic criteria for</w:t>
      </w:r>
      <w:r w:rsidR="00A94192">
        <w:rPr>
          <w:bCs/>
          <w:color w:val="000000" w:themeColor="text1"/>
          <w:lang w:val="en-US"/>
        </w:rPr>
        <w:t xml:space="preserve"> </w:t>
      </w:r>
      <w:proofErr w:type="spellStart"/>
      <w:r w:rsidR="00387F2D">
        <w:rPr>
          <w:bCs/>
          <w:color w:val="000000" w:themeColor="text1"/>
          <w:lang w:val="en-US"/>
        </w:rPr>
        <w:t>loxoscelism</w:t>
      </w:r>
      <w:proofErr w:type="spellEnd"/>
      <w:r w:rsidR="00A94192">
        <w:rPr>
          <w:bCs/>
          <w:color w:val="000000" w:themeColor="text1"/>
          <w:lang w:val="en-US"/>
        </w:rPr>
        <w:t>, predictors for visceral involvement and</w:t>
      </w:r>
      <w:r w:rsidRPr="00D404F3">
        <w:rPr>
          <w:bCs/>
          <w:color w:val="000000" w:themeColor="text1"/>
          <w:lang w:val="en-US"/>
        </w:rPr>
        <w:t xml:space="preserve"> </w:t>
      </w:r>
      <w:r w:rsidR="00A94192">
        <w:rPr>
          <w:bCs/>
          <w:color w:val="000000" w:themeColor="text1"/>
          <w:lang w:val="en-US"/>
        </w:rPr>
        <w:t xml:space="preserve">response to treatment. </w:t>
      </w:r>
    </w:p>
    <w:p w14:paraId="5F144F5C" w14:textId="77777777" w:rsidR="000865FF" w:rsidRDefault="000865FF" w:rsidP="009B5F22">
      <w:pPr>
        <w:widowControl w:val="0"/>
        <w:autoSpaceDE w:val="0"/>
        <w:autoSpaceDN w:val="0"/>
        <w:adjustRightInd w:val="0"/>
        <w:spacing w:after="240" w:line="360" w:lineRule="auto"/>
        <w:rPr>
          <w:b/>
          <w:color w:val="000000" w:themeColor="text1"/>
          <w:lang w:val="en-US"/>
        </w:rPr>
      </w:pPr>
    </w:p>
    <w:p w14:paraId="29355B5C" w14:textId="77777777" w:rsidR="000865FF" w:rsidRDefault="000865FF" w:rsidP="009B5F22">
      <w:pPr>
        <w:widowControl w:val="0"/>
        <w:autoSpaceDE w:val="0"/>
        <w:autoSpaceDN w:val="0"/>
        <w:adjustRightInd w:val="0"/>
        <w:spacing w:after="240" w:line="360" w:lineRule="auto"/>
        <w:rPr>
          <w:b/>
          <w:color w:val="000000" w:themeColor="text1"/>
          <w:lang w:val="en-US"/>
        </w:rPr>
      </w:pPr>
    </w:p>
    <w:p w14:paraId="7EFE9137" w14:textId="77777777" w:rsidR="00130483" w:rsidRPr="00E93732" w:rsidRDefault="00A81996" w:rsidP="009B5F22">
      <w:pPr>
        <w:widowControl w:val="0"/>
        <w:autoSpaceDE w:val="0"/>
        <w:autoSpaceDN w:val="0"/>
        <w:adjustRightInd w:val="0"/>
        <w:spacing w:after="240" w:line="360" w:lineRule="auto"/>
        <w:rPr>
          <w:bCs/>
          <w:i/>
          <w:iCs/>
          <w:color w:val="000000" w:themeColor="text1"/>
        </w:rPr>
      </w:pPr>
      <w:r w:rsidRPr="00E93732">
        <w:rPr>
          <w:b/>
          <w:color w:val="000000" w:themeColor="text1"/>
        </w:rPr>
        <w:t xml:space="preserve">Key words: </w:t>
      </w:r>
      <w:r w:rsidR="0082495E" w:rsidRPr="00E93732">
        <w:rPr>
          <w:bCs/>
          <w:color w:val="000000" w:themeColor="text1"/>
        </w:rPr>
        <w:t xml:space="preserve">Loxoscelism, </w:t>
      </w:r>
      <w:r w:rsidR="0082495E" w:rsidRPr="00E93732">
        <w:rPr>
          <w:bCs/>
          <w:i/>
          <w:iCs/>
          <w:color w:val="000000" w:themeColor="text1"/>
        </w:rPr>
        <w:t>Loxosceles Laeta</w:t>
      </w:r>
    </w:p>
    <w:p w14:paraId="0715DF0C" w14:textId="77777777" w:rsidR="00130483" w:rsidRPr="00E93732" w:rsidRDefault="00130483" w:rsidP="009B5F22">
      <w:pPr>
        <w:widowControl w:val="0"/>
        <w:autoSpaceDE w:val="0"/>
        <w:autoSpaceDN w:val="0"/>
        <w:adjustRightInd w:val="0"/>
        <w:spacing w:after="240" w:line="360" w:lineRule="auto"/>
        <w:rPr>
          <w:b/>
          <w:color w:val="000000" w:themeColor="text1"/>
        </w:rPr>
      </w:pPr>
    </w:p>
    <w:p w14:paraId="6D1A90C5" w14:textId="77777777" w:rsidR="00130483" w:rsidRPr="00E93732" w:rsidRDefault="00130483" w:rsidP="009B5F22">
      <w:pPr>
        <w:widowControl w:val="0"/>
        <w:autoSpaceDE w:val="0"/>
        <w:autoSpaceDN w:val="0"/>
        <w:adjustRightInd w:val="0"/>
        <w:spacing w:after="240" w:line="360" w:lineRule="auto"/>
        <w:rPr>
          <w:b/>
          <w:color w:val="000000" w:themeColor="text1"/>
        </w:rPr>
      </w:pPr>
    </w:p>
    <w:p w14:paraId="2F30C55C" w14:textId="77777777" w:rsidR="00130483" w:rsidRPr="00E93732" w:rsidRDefault="00130483" w:rsidP="009B5F22">
      <w:pPr>
        <w:widowControl w:val="0"/>
        <w:autoSpaceDE w:val="0"/>
        <w:autoSpaceDN w:val="0"/>
        <w:adjustRightInd w:val="0"/>
        <w:spacing w:after="240" w:line="360" w:lineRule="auto"/>
        <w:rPr>
          <w:b/>
          <w:color w:val="000000" w:themeColor="text1"/>
        </w:rPr>
      </w:pPr>
    </w:p>
    <w:p w14:paraId="7D10348F" w14:textId="77777777" w:rsidR="00130483" w:rsidRPr="00E93732" w:rsidRDefault="00130483" w:rsidP="009B5F22">
      <w:pPr>
        <w:widowControl w:val="0"/>
        <w:autoSpaceDE w:val="0"/>
        <w:autoSpaceDN w:val="0"/>
        <w:adjustRightInd w:val="0"/>
        <w:spacing w:after="240" w:line="360" w:lineRule="auto"/>
        <w:rPr>
          <w:b/>
          <w:color w:val="000000" w:themeColor="text1"/>
        </w:rPr>
      </w:pPr>
    </w:p>
    <w:p w14:paraId="71BD3F7E" w14:textId="77777777" w:rsidR="00130483" w:rsidRPr="00E93732" w:rsidRDefault="00130483" w:rsidP="009B5F22">
      <w:pPr>
        <w:widowControl w:val="0"/>
        <w:autoSpaceDE w:val="0"/>
        <w:autoSpaceDN w:val="0"/>
        <w:adjustRightInd w:val="0"/>
        <w:spacing w:after="240" w:line="360" w:lineRule="auto"/>
        <w:rPr>
          <w:b/>
          <w:color w:val="000000" w:themeColor="text1"/>
        </w:rPr>
      </w:pPr>
    </w:p>
    <w:p w14:paraId="0439B432" w14:textId="77777777" w:rsidR="00130483" w:rsidRPr="00E93732" w:rsidRDefault="00130483" w:rsidP="009B5F22">
      <w:pPr>
        <w:widowControl w:val="0"/>
        <w:autoSpaceDE w:val="0"/>
        <w:autoSpaceDN w:val="0"/>
        <w:adjustRightInd w:val="0"/>
        <w:spacing w:after="240" w:line="360" w:lineRule="auto"/>
        <w:rPr>
          <w:b/>
          <w:color w:val="000000" w:themeColor="text1"/>
        </w:rPr>
      </w:pPr>
    </w:p>
    <w:p w14:paraId="34C29989" w14:textId="77777777" w:rsidR="00130483" w:rsidRPr="00E93732" w:rsidRDefault="00130483" w:rsidP="009B5F22">
      <w:pPr>
        <w:widowControl w:val="0"/>
        <w:autoSpaceDE w:val="0"/>
        <w:autoSpaceDN w:val="0"/>
        <w:adjustRightInd w:val="0"/>
        <w:spacing w:after="240" w:line="360" w:lineRule="auto"/>
        <w:rPr>
          <w:b/>
          <w:color w:val="000000" w:themeColor="text1"/>
        </w:rPr>
      </w:pPr>
    </w:p>
    <w:p w14:paraId="2888FF87" w14:textId="77777777" w:rsidR="00CF144C" w:rsidRPr="00E93732" w:rsidRDefault="00CF144C" w:rsidP="009B5F22">
      <w:pPr>
        <w:widowControl w:val="0"/>
        <w:autoSpaceDE w:val="0"/>
        <w:autoSpaceDN w:val="0"/>
        <w:adjustRightInd w:val="0"/>
        <w:spacing w:after="240" w:line="360" w:lineRule="auto"/>
        <w:rPr>
          <w:b/>
          <w:color w:val="000000" w:themeColor="text1"/>
        </w:rPr>
      </w:pPr>
    </w:p>
    <w:p w14:paraId="2ABFA0F5" w14:textId="77777777" w:rsidR="0021610D" w:rsidRPr="0021610D" w:rsidRDefault="0021610D" w:rsidP="009B5F22">
      <w:pPr>
        <w:widowControl w:val="0"/>
        <w:autoSpaceDE w:val="0"/>
        <w:autoSpaceDN w:val="0"/>
        <w:adjustRightInd w:val="0"/>
        <w:spacing w:after="240" w:line="360" w:lineRule="auto"/>
        <w:rPr>
          <w:b/>
          <w:color w:val="000000" w:themeColor="text1"/>
        </w:rPr>
      </w:pPr>
      <w:r w:rsidRPr="0021610D">
        <w:rPr>
          <w:b/>
          <w:color w:val="000000" w:themeColor="text1"/>
        </w:rPr>
        <w:t>Introducción</w:t>
      </w:r>
    </w:p>
    <w:p w14:paraId="148E925A" w14:textId="77777777" w:rsidR="0021610D" w:rsidRPr="0021610D" w:rsidRDefault="002958A5" w:rsidP="009B5F22">
      <w:pPr>
        <w:widowControl w:val="0"/>
        <w:autoSpaceDE w:val="0"/>
        <w:autoSpaceDN w:val="0"/>
        <w:adjustRightInd w:val="0"/>
        <w:spacing w:after="240" w:line="360" w:lineRule="auto"/>
        <w:rPr>
          <w:bCs/>
          <w:color w:val="000000" w:themeColor="text1"/>
        </w:rPr>
      </w:pPr>
      <w:r>
        <w:rPr>
          <w:bCs/>
          <w:color w:val="000000" w:themeColor="text1"/>
        </w:rPr>
        <w:t>E</w:t>
      </w:r>
      <w:proofErr w:type="spellStart"/>
      <w:r w:rsidR="0021610D" w:rsidRPr="0021610D">
        <w:rPr>
          <w:bCs/>
          <w:color w:val="000000" w:themeColor="text1"/>
          <w:lang w:val="es-ES"/>
        </w:rPr>
        <w:t>xisten</w:t>
      </w:r>
      <w:proofErr w:type="spellEnd"/>
      <w:r w:rsidR="0021610D" w:rsidRPr="0021610D">
        <w:rPr>
          <w:bCs/>
          <w:color w:val="000000" w:themeColor="text1"/>
          <w:lang w:val="es-ES"/>
        </w:rPr>
        <w:t xml:space="preserve"> dos síndromes clínicos </w:t>
      </w:r>
      <w:r>
        <w:rPr>
          <w:bCs/>
          <w:color w:val="000000" w:themeColor="text1"/>
          <w:lang w:val="es-ES"/>
        </w:rPr>
        <w:t xml:space="preserve">clásicos </w:t>
      </w:r>
      <w:r w:rsidR="0021610D" w:rsidRPr="0021610D">
        <w:rPr>
          <w:bCs/>
          <w:color w:val="000000" w:themeColor="text1"/>
          <w:lang w:val="es-ES"/>
        </w:rPr>
        <w:t xml:space="preserve">causados por mordeduras de araña: </w:t>
      </w:r>
      <w:proofErr w:type="spellStart"/>
      <w:r w:rsidR="0021610D" w:rsidRPr="0021610D">
        <w:rPr>
          <w:bCs/>
          <w:color w:val="000000" w:themeColor="text1"/>
          <w:lang w:val="es-ES"/>
        </w:rPr>
        <w:t>latrodectismo</w:t>
      </w:r>
      <w:proofErr w:type="spellEnd"/>
      <w:r w:rsidR="0039220C">
        <w:rPr>
          <w:bCs/>
          <w:color w:val="000000" w:themeColor="text1"/>
          <w:lang w:val="es-ES"/>
        </w:rPr>
        <w:t xml:space="preserve"> (</w:t>
      </w:r>
      <w:r w:rsidR="0021610D" w:rsidRPr="0021610D">
        <w:rPr>
          <w:bCs/>
          <w:color w:val="000000" w:themeColor="text1"/>
          <w:lang w:val="es-ES"/>
        </w:rPr>
        <w:t xml:space="preserve">causado por </w:t>
      </w:r>
      <w:proofErr w:type="spellStart"/>
      <w:r w:rsidR="0021610D" w:rsidRPr="0021610D">
        <w:rPr>
          <w:bCs/>
          <w:color w:val="000000" w:themeColor="text1"/>
          <w:lang w:val="es-ES"/>
        </w:rPr>
        <w:t>Latrodectus</w:t>
      </w:r>
      <w:proofErr w:type="spellEnd"/>
      <w:r w:rsidR="0021610D" w:rsidRPr="0021610D">
        <w:rPr>
          <w:bCs/>
          <w:color w:val="000000" w:themeColor="text1"/>
          <w:lang w:val="es-ES"/>
        </w:rPr>
        <w:t xml:space="preserve"> </w:t>
      </w:r>
      <w:proofErr w:type="spellStart"/>
      <w:r w:rsidR="0021610D" w:rsidRPr="0021610D">
        <w:rPr>
          <w:bCs/>
          <w:color w:val="000000" w:themeColor="text1"/>
          <w:lang w:val="es-ES"/>
        </w:rPr>
        <w:t>spp</w:t>
      </w:r>
      <w:proofErr w:type="spellEnd"/>
      <w:r w:rsidR="0039220C">
        <w:rPr>
          <w:bCs/>
          <w:color w:val="000000" w:themeColor="text1"/>
          <w:lang w:val="es-ES"/>
        </w:rPr>
        <w:t>)</w:t>
      </w:r>
      <w:r w:rsidR="00BA5DAE">
        <w:rPr>
          <w:bCs/>
          <w:color w:val="000000" w:themeColor="text1"/>
          <w:lang w:val="es-ES"/>
        </w:rPr>
        <w:t>,</w:t>
      </w:r>
      <w:r w:rsidR="0021610D" w:rsidRPr="0021610D">
        <w:rPr>
          <w:bCs/>
          <w:color w:val="000000" w:themeColor="text1"/>
          <w:lang w:val="es-ES"/>
        </w:rPr>
        <w:t xml:space="preserve"> y </w:t>
      </w:r>
      <w:proofErr w:type="spellStart"/>
      <w:r w:rsidR="0021610D" w:rsidRPr="0021610D">
        <w:rPr>
          <w:bCs/>
          <w:color w:val="000000" w:themeColor="text1"/>
          <w:lang w:val="es-ES"/>
        </w:rPr>
        <w:t>loxoscelismo</w:t>
      </w:r>
      <w:proofErr w:type="spellEnd"/>
      <w:r w:rsidR="0039220C">
        <w:rPr>
          <w:bCs/>
          <w:color w:val="000000" w:themeColor="text1"/>
          <w:lang w:val="es-ES"/>
        </w:rPr>
        <w:t xml:space="preserve"> (</w:t>
      </w:r>
      <w:r w:rsidR="0021610D" w:rsidRPr="0021610D">
        <w:rPr>
          <w:bCs/>
          <w:color w:val="000000" w:themeColor="text1"/>
          <w:lang w:val="es-ES"/>
        </w:rPr>
        <w:t xml:space="preserve">causado por </w:t>
      </w:r>
      <w:proofErr w:type="spellStart"/>
      <w:r w:rsidR="0021610D" w:rsidRPr="0021610D">
        <w:rPr>
          <w:bCs/>
          <w:color w:val="000000" w:themeColor="text1"/>
          <w:lang w:val="es-ES"/>
        </w:rPr>
        <w:t>Loxosceles</w:t>
      </w:r>
      <w:proofErr w:type="spellEnd"/>
      <w:r w:rsidR="0021610D" w:rsidRPr="0021610D">
        <w:rPr>
          <w:bCs/>
          <w:color w:val="000000" w:themeColor="text1"/>
          <w:lang w:val="es-ES"/>
        </w:rPr>
        <w:t xml:space="preserve"> </w:t>
      </w:r>
      <w:proofErr w:type="spellStart"/>
      <w:r w:rsidR="0021610D" w:rsidRPr="0021610D">
        <w:rPr>
          <w:bCs/>
          <w:color w:val="000000" w:themeColor="text1"/>
          <w:lang w:val="es-ES"/>
        </w:rPr>
        <w:t>spp</w:t>
      </w:r>
      <w:proofErr w:type="spellEnd"/>
      <w:r w:rsidR="0021610D" w:rsidRPr="0021610D">
        <w:rPr>
          <w:bCs/>
          <w:color w:val="000000" w:themeColor="text1"/>
          <w:lang w:val="es-ES"/>
        </w:rPr>
        <w:t>)</w:t>
      </w:r>
      <w:r w:rsidR="0021610D" w:rsidRPr="0021610D">
        <w:rPr>
          <w:bCs/>
          <w:color w:val="000000" w:themeColor="text1"/>
          <w:vertAlign w:val="superscript"/>
          <w:lang w:val="es-ES"/>
        </w:rPr>
        <w:t>1</w:t>
      </w:r>
      <w:r w:rsidR="001105D2">
        <w:rPr>
          <w:bCs/>
          <w:color w:val="000000" w:themeColor="text1"/>
          <w:vertAlign w:val="superscript"/>
          <w:lang w:val="es-ES"/>
        </w:rPr>
        <w:t>,2</w:t>
      </w:r>
      <w:r w:rsidR="0021610D" w:rsidRPr="0021610D">
        <w:rPr>
          <w:bCs/>
          <w:color w:val="000000" w:themeColor="text1"/>
          <w:lang w:val="es-ES"/>
        </w:rPr>
        <w:t>.</w:t>
      </w:r>
    </w:p>
    <w:p w14:paraId="3C9134C7" w14:textId="77777777" w:rsidR="0021610D" w:rsidRPr="0021610D"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rPr>
        <w:t xml:space="preserve">La distribución de las arañas del género </w:t>
      </w:r>
      <w:r w:rsidRPr="0021610D">
        <w:rPr>
          <w:bCs/>
          <w:i/>
          <w:iCs/>
          <w:color w:val="000000" w:themeColor="text1"/>
        </w:rPr>
        <w:t>Loxosceles</w:t>
      </w:r>
      <w:r w:rsidRPr="0021610D">
        <w:rPr>
          <w:bCs/>
          <w:color w:val="000000" w:themeColor="text1"/>
        </w:rPr>
        <w:t xml:space="preserve"> es amplia. </w:t>
      </w:r>
      <w:r w:rsidR="008538DC">
        <w:rPr>
          <w:bCs/>
          <w:color w:val="000000" w:themeColor="text1"/>
        </w:rPr>
        <w:t>L</w:t>
      </w:r>
      <w:r w:rsidRPr="0021610D">
        <w:rPr>
          <w:bCs/>
          <w:color w:val="000000" w:themeColor="text1"/>
        </w:rPr>
        <w:t xml:space="preserve">a </w:t>
      </w:r>
      <w:r w:rsidRPr="002307D1">
        <w:rPr>
          <w:bCs/>
          <w:i/>
          <w:iCs/>
          <w:color w:val="000000" w:themeColor="text1"/>
        </w:rPr>
        <w:t>Loxosceles reclusa</w:t>
      </w:r>
      <w:r w:rsidRPr="0021610D">
        <w:rPr>
          <w:bCs/>
          <w:color w:val="000000" w:themeColor="text1"/>
        </w:rPr>
        <w:t xml:space="preserve"> es</w:t>
      </w:r>
      <w:r w:rsidR="000B14BA">
        <w:rPr>
          <w:bCs/>
          <w:color w:val="000000" w:themeColor="text1"/>
        </w:rPr>
        <w:t xml:space="preserve"> la causa</w:t>
      </w:r>
      <w:r w:rsidR="00562029">
        <w:rPr>
          <w:bCs/>
          <w:color w:val="000000" w:themeColor="text1"/>
        </w:rPr>
        <w:t>nte</w:t>
      </w:r>
      <w:r w:rsidRPr="0021610D">
        <w:rPr>
          <w:bCs/>
          <w:color w:val="000000" w:themeColor="text1"/>
        </w:rPr>
        <w:t xml:space="preserve"> de la mayoría de los casos</w:t>
      </w:r>
      <w:r w:rsidR="008538DC">
        <w:rPr>
          <w:bCs/>
          <w:color w:val="000000" w:themeColor="text1"/>
        </w:rPr>
        <w:t xml:space="preserve"> en Norteamérica</w:t>
      </w:r>
      <w:r w:rsidR="001105D2">
        <w:rPr>
          <w:bCs/>
          <w:color w:val="000000" w:themeColor="text1"/>
          <w:vertAlign w:val="superscript"/>
        </w:rPr>
        <w:t>3</w:t>
      </w:r>
      <w:r w:rsidRPr="0021610D">
        <w:rPr>
          <w:bCs/>
          <w:color w:val="000000" w:themeColor="text1"/>
          <w:vertAlign w:val="superscript"/>
        </w:rPr>
        <w:t>-</w:t>
      </w:r>
      <w:r w:rsidR="008538DC">
        <w:rPr>
          <w:bCs/>
          <w:color w:val="000000" w:themeColor="text1"/>
          <w:vertAlign w:val="superscript"/>
        </w:rPr>
        <w:t>12</w:t>
      </w:r>
      <w:r w:rsidRPr="0021610D">
        <w:rPr>
          <w:bCs/>
          <w:color w:val="000000" w:themeColor="text1"/>
        </w:rPr>
        <w:t>.</w:t>
      </w:r>
      <w:r w:rsidR="008538DC">
        <w:rPr>
          <w:bCs/>
          <w:color w:val="000000" w:themeColor="text1"/>
        </w:rPr>
        <w:t xml:space="preserve"> </w:t>
      </w:r>
      <w:r w:rsidR="002958A5">
        <w:rPr>
          <w:bCs/>
          <w:color w:val="000000" w:themeColor="text1"/>
        </w:rPr>
        <w:t>L</w:t>
      </w:r>
      <w:r w:rsidRPr="0021610D">
        <w:rPr>
          <w:bCs/>
          <w:color w:val="000000" w:themeColor="text1"/>
        </w:rPr>
        <w:t>a</w:t>
      </w:r>
      <w:r w:rsidR="002958A5">
        <w:rPr>
          <w:bCs/>
          <w:color w:val="000000" w:themeColor="text1"/>
        </w:rPr>
        <w:t xml:space="preserve"> </w:t>
      </w:r>
      <w:r w:rsidRPr="00DF5F13">
        <w:rPr>
          <w:bCs/>
          <w:i/>
          <w:color w:val="000000" w:themeColor="text1"/>
        </w:rPr>
        <w:t>Loxosceles laeta</w:t>
      </w:r>
      <w:r w:rsidRPr="0021610D">
        <w:rPr>
          <w:bCs/>
          <w:color w:val="000000" w:themeColor="text1"/>
        </w:rPr>
        <w:t>,</w:t>
      </w:r>
      <w:r w:rsidRPr="0021610D">
        <w:rPr>
          <w:bCs/>
          <w:iCs/>
          <w:color w:val="000000" w:themeColor="text1"/>
        </w:rPr>
        <w:t xml:space="preserve"> </w:t>
      </w:r>
      <w:r w:rsidRPr="00DF5F13">
        <w:rPr>
          <w:bCs/>
          <w:i/>
          <w:color w:val="000000" w:themeColor="text1"/>
        </w:rPr>
        <w:t>intermedia</w:t>
      </w:r>
      <w:r w:rsidRPr="0021610D">
        <w:rPr>
          <w:bCs/>
          <w:color w:val="000000" w:themeColor="text1"/>
        </w:rPr>
        <w:t xml:space="preserve"> y</w:t>
      </w:r>
      <w:r w:rsidRPr="0021610D">
        <w:rPr>
          <w:bCs/>
          <w:iCs/>
          <w:color w:val="000000" w:themeColor="text1"/>
        </w:rPr>
        <w:t xml:space="preserve"> </w:t>
      </w:r>
      <w:r w:rsidRPr="00DF5F13">
        <w:rPr>
          <w:bCs/>
          <w:i/>
          <w:color w:val="000000" w:themeColor="text1"/>
        </w:rPr>
        <w:t>gaucho</w:t>
      </w:r>
      <w:r w:rsidR="002958A5">
        <w:rPr>
          <w:bCs/>
          <w:color w:val="000000" w:themeColor="text1"/>
        </w:rPr>
        <w:t xml:space="preserve"> </w:t>
      </w:r>
      <w:r w:rsidRPr="0021610D">
        <w:rPr>
          <w:bCs/>
          <w:color w:val="000000" w:themeColor="text1"/>
        </w:rPr>
        <w:t xml:space="preserve">son causantes de </w:t>
      </w:r>
      <w:r w:rsidR="00E15DA2">
        <w:rPr>
          <w:bCs/>
          <w:color w:val="000000" w:themeColor="text1"/>
        </w:rPr>
        <w:t xml:space="preserve">la mayoría de los casos </w:t>
      </w:r>
      <w:r w:rsidR="002958A5">
        <w:rPr>
          <w:bCs/>
          <w:color w:val="000000" w:themeColor="text1"/>
        </w:rPr>
        <w:t>en Sudamérica</w:t>
      </w:r>
      <w:r w:rsidR="00DF5F13">
        <w:rPr>
          <w:bCs/>
          <w:color w:val="000000" w:themeColor="text1"/>
          <w:vertAlign w:val="superscript"/>
        </w:rPr>
        <w:t>1</w:t>
      </w:r>
      <w:r w:rsidR="001105D2">
        <w:rPr>
          <w:bCs/>
          <w:color w:val="000000" w:themeColor="text1"/>
          <w:vertAlign w:val="superscript"/>
        </w:rPr>
        <w:t>3</w:t>
      </w:r>
      <w:r w:rsidRPr="0021610D">
        <w:rPr>
          <w:bCs/>
          <w:color w:val="000000" w:themeColor="text1"/>
        </w:rPr>
        <w:t>.</w:t>
      </w:r>
      <w:r w:rsidRPr="00DF5F13">
        <w:rPr>
          <w:bCs/>
          <w:i/>
          <w:color w:val="000000" w:themeColor="text1"/>
        </w:rPr>
        <w:t xml:space="preserve"> </w:t>
      </w:r>
    </w:p>
    <w:p w14:paraId="29A284F8" w14:textId="77777777" w:rsidR="002958A5" w:rsidRPr="00695A26" w:rsidRDefault="002958A5" w:rsidP="009B5F22">
      <w:pPr>
        <w:widowControl w:val="0"/>
        <w:autoSpaceDE w:val="0"/>
        <w:autoSpaceDN w:val="0"/>
        <w:adjustRightInd w:val="0"/>
        <w:spacing w:after="240" w:line="360" w:lineRule="auto"/>
        <w:rPr>
          <w:bCs/>
          <w:color w:val="000000" w:themeColor="text1"/>
        </w:rPr>
      </w:pPr>
      <w:r>
        <w:rPr>
          <w:bCs/>
          <w:color w:val="000000" w:themeColor="text1"/>
        </w:rPr>
        <w:t xml:space="preserve">La presencia de </w:t>
      </w:r>
      <w:r w:rsidRPr="00FF113E">
        <w:rPr>
          <w:bCs/>
          <w:i/>
          <w:color w:val="000000" w:themeColor="text1"/>
        </w:rPr>
        <w:t>L. laeta</w:t>
      </w:r>
      <w:r w:rsidR="00221B1F">
        <w:rPr>
          <w:bCs/>
          <w:color w:val="000000" w:themeColor="text1"/>
        </w:rPr>
        <w:t xml:space="preserve"> en nuestro país, </w:t>
      </w:r>
      <w:r>
        <w:rPr>
          <w:bCs/>
          <w:color w:val="000000" w:themeColor="text1"/>
        </w:rPr>
        <w:t xml:space="preserve">determina que </w:t>
      </w:r>
      <w:r w:rsidR="00221B1F">
        <w:rPr>
          <w:bCs/>
          <w:color w:val="000000" w:themeColor="text1"/>
        </w:rPr>
        <w:t xml:space="preserve">el loxoscelismo </w:t>
      </w:r>
      <w:r>
        <w:rPr>
          <w:bCs/>
          <w:color w:val="000000" w:themeColor="text1"/>
        </w:rPr>
        <w:t>sea</w:t>
      </w:r>
      <w:r w:rsidR="0021610D" w:rsidRPr="0021610D">
        <w:rPr>
          <w:bCs/>
          <w:color w:val="000000" w:themeColor="text1"/>
        </w:rPr>
        <w:t xml:space="preserve"> un problema relevante de salud pública, por la mayor tasa de compromiso cutáneo-visceral asociado </w:t>
      </w:r>
      <w:r>
        <w:rPr>
          <w:bCs/>
          <w:color w:val="000000" w:themeColor="text1"/>
        </w:rPr>
        <w:t>al veneno de esta araña</w:t>
      </w:r>
      <w:r w:rsidRPr="002958A5">
        <w:rPr>
          <w:bCs/>
          <w:color w:val="000000" w:themeColor="text1"/>
        </w:rPr>
        <w:t xml:space="preserve"> </w:t>
      </w:r>
      <w:r>
        <w:rPr>
          <w:bCs/>
          <w:color w:val="000000" w:themeColor="text1"/>
        </w:rPr>
        <w:t>(</w:t>
      </w:r>
      <w:r w:rsidRPr="0021610D">
        <w:rPr>
          <w:bCs/>
          <w:color w:val="000000" w:themeColor="text1"/>
        </w:rPr>
        <w:t>propiedades necrosantes, hemolíticas, vasculíticas y coagulantes</w:t>
      </w:r>
      <w:r>
        <w:rPr>
          <w:bCs/>
          <w:color w:val="000000" w:themeColor="text1"/>
        </w:rPr>
        <w:t>)</w:t>
      </w:r>
      <w:r>
        <w:rPr>
          <w:bCs/>
          <w:color w:val="000000" w:themeColor="text1"/>
          <w:vertAlign w:val="superscript"/>
        </w:rPr>
        <w:t>1</w:t>
      </w:r>
      <w:r w:rsidR="00647C6A">
        <w:rPr>
          <w:bCs/>
          <w:color w:val="000000" w:themeColor="text1"/>
          <w:vertAlign w:val="superscript"/>
        </w:rPr>
        <w:t>4</w:t>
      </w:r>
      <w:r>
        <w:rPr>
          <w:bCs/>
          <w:color w:val="000000" w:themeColor="text1"/>
          <w:vertAlign w:val="superscript"/>
        </w:rPr>
        <w:t>-</w:t>
      </w:r>
      <w:r w:rsidRPr="0021610D">
        <w:rPr>
          <w:bCs/>
          <w:color w:val="000000" w:themeColor="text1"/>
          <w:vertAlign w:val="superscript"/>
        </w:rPr>
        <w:t>1</w:t>
      </w:r>
      <w:r w:rsidR="00647C6A">
        <w:rPr>
          <w:bCs/>
          <w:color w:val="000000" w:themeColor="text1"/>
          <w:vertAlign w:val="superscript"/>
        </w:rPr>
        <w:t>6</w:t>
      </w:r>
      <w:r w:rsidR="009F0F22">
        <w:rPr>
          <w:bCs/>
          <w:color w:val="000000" w:themeColor="text1"/>
        </w:rPr>
        <w:t xml:space="preserve">. </w:t>
      </w:r>
      <w:r w:rsidR="009F0F22" w:rsidRPr="00C20E75">
        <w:rPr>
          <w:bCs/>
          <w:color w:val="000000" w:themeColor="text1"/>
          <w:highlight w:val="yellow"/>
        </w:rPr>
        <w:t xml:space="preserve">Las características de estas lesiones fueron descritas </w:t>
      </w:r>
      <w:r w:rsidR="00CC27C3" w:rsidRPr="00C20E75">
        <w:rPr>
          <w:bCs/>
          <w:color w:val="000000" w:themeColor="text1"/>
          <w:highlight w:val="yellow"/>
        </w:rPr>
        <w:t>en 1934 en Chile</w:t>
      </w:r>
      <w:r w:rsidR="009F0F22" w:rsidRPr="00C20E75">
        <w:rPr>
          <w:bCs/>
          <w:color w:val="000000" w:themeColor="text1"/>
          <w:highlight w:val="yellow"/>
        </w:rPr>
        <w:t xml:space="preserve"> por</w:t>
      </w:r>
      <w:r w:rsidR="00CC27C3" w:rsidRPr="00C20E75">
        <w:rPr>
          <w:bCs/>
          <w:color w:val="000000" w:themeColor="text1"/>
          <w:highlight w:val="yellow"/>
        </w:rPr>
        <w:t xml:space="preserve"> el Dr.</w:t>
      </w:r>
      <w:r w:rsidR="000E5805" w:rsidRPr="00C20E75">
        <w:rPr>
          <w:bCs/>
          <w:color w:val="000000" w:themeColor="text1"/>
          <w:highlight w:val="yellow"/>
        </w:rPr>
        <w:t xml:space="preserve"> Atilio</w:t>
      </w:r>
      <w:r w:rsidR="00CC27C3" w:rsidRPr="00C20E75">
        <w:rPr>
          <w:bCs/>
          <w:color w:val="000000" w:themeColor="text1"/>
          <w:highlight w:val="yellow"/>
        </w:rPr>
        <w:t xml:space="preserve"> Macchiavello</w:t>
      </w:r>
      <w:r w:rsidR="009F0F22" w:rsidRPr="00C20E75">
        <w:rPr>
          <w:bCs/>
          <w:color w:val="000000" w:themeColor="text1"/>
          <w:highlight w:val="yellow"/>
        </w:rPr>
        <w:t>,</w:t>
      </w:r>
      <w:r w:rsidR="00CC27C3" w:rsidRPr="00C20E75">
        <w:rPr>
          <w:bCs/>
          <w:color w:val="000000" w:themeColor="text1"/>
          <w:highlight w:val="yellow"/>
        </w:rPr>
        <w:t xml:space="preserve"> </w:t>
      </w:r>
      <w:r w:rsidR="009C00C2" w:rsidRPr="00C20E75">
        <w:rPr>
          <w:bCs/>
          <w:color w:val="000000" w:themeColor="text1"/>
          <w:highlight w:val="yellow"/>
        </w:rPr>
        <w:t xml:space="preserve">describiendo la mordedura de la </w:t>
      </w:r>
      <w:r w:rsidR="009C00C2" w:rsidRPr="00C20E75">
        <w:rPr>
          <w:bCs/>
          <w:i/>
          <w:iCs/>
          <w:color w:val="000000" w:themeColor="text1"/>
          <w:highlight w:val="yellow"/>
        </w:rPr>
        <w:t>L. laeta</w:t>
      </w:r>
      <w:r w:rsidR="009C00C2" w:rsidRPr="00C20E75">
        <w:rPr>
          <w:bCs/>
          <w:color w:val="000000" w:themeColor="text1"/>
          <w:highlight w:val="yellow"/>
        </w:rPr>
        <w:t xml:space="preserve"> como la mancha gangrenosa de Chile</w:t>
      </w:r>
      <w:r w:rsidR="000E5805" w:rsidRPr="00C20E75">
        <w:rPr>
          <w:bCs/>
          <w:color w:val="000000" w:themeColor="text1"/>
          <w:highlight w:val="yellow"/>
        </w:rPr>
        <w:t>,</w:t>
      </w:r>
      <w:r w:rsidR="0037753F" w:rsidRPr="00C20E75">
        <w:rPr>
          <w:bCs/>
          <w:color w:val="000000" w:themeColor="text1"/>
          <w:highlight w:val="yellow"/>
        </w:rPr>
        <w:t xml:space="preserve"> dando a conocer</w:t>
      </w:r>
      <w:r w:rsidR="009C00C2" w:rsidRPr="00C20E75">
        <w:rPr>
          <w:bCs/>
          <w:color w:val="000000" w:themeColor="text1"/>
          <w:highlight w:val="yellow"/>
        </w:rPr>
        <w:t xml:space="preserve"> los tipos clínicos que dependen de la gravedad de </w:t>
      </w:r>
      <w:r w:rsidR="0037753F" w:rsidRPr="00C20E75">
        <w:rPr>
          <w:bCs/>
          <w:color w:val="000000" w:themeColor="text1"/>
          <w:highlight w:val="yellow"/>
        </w:rPr>
        <w:t>la inoculación del veneno</w:t>
      </w:r>
      <w:r w:rsidR="000E5805" w:rsidRPr="00C20E75">
        <w:rPr>
          <w:bCs/>
          <w:color w:val="000000" w:themeColor="text1"/>
          <w:highlight w:val="yellow"/>
        </w:rPr>
        <w:t xml:space="preserve"> y</w:t>
      </w:r>
      <w:r w:rsidR="0037753F" w:rsidRPr="00C20E75">
        <w:rPr>
          <w:bCs/>
          <w:color w:val="000000" w:themeColor="text1"/>
          <w:highlight w:val="yellow"/>
        </w:rPr>
        <w:t xml:space="preserve"> publicando en 1947 una imagen de</w:t>
      </w:r>
      <w:r w:rsidR="00295986" w:rsidRPr="00C20E75">
        <w:rPr>
          <w:bCs/>
          <w:color w:val="000000" w:themeColor="text1"/>
          <w:highlight w:val="yellow"/>
        </w:rPr>
        <w:t xml:space="preserve"> la lesión del</w:t>
      </w:r>
      <w:r w:rsidR="0037753F" w:rsidRPr="00C20E75">
        <w:rPr>
          <w:bCs/>
          <w:color w:val="000000" w:themeColor="text1"/>
          <w:highlight w:val="yellow"/>
        </w:rPr>
        <w:t xml:space="preserve"> veneno necrotizante de este arácnido</w:t>
      </w:r>
      <w:r w:rsidR="00160512" w:rsidRPr="00C20E75">
        <w:rPr>
          <w:bCs/>
          <w:color w:val="000000" w:themeColor="text1"/>
          <w:highlight w:val="yellow"/>
        </w:rPr>
        <w:t xml:space="preserve">, </w:t>
      </w:r>
      <w:r w:rsidR="002A7CDF" w:rsidRPr="00C20E75">
        <w:rPr>
          <w:bCs/>
          <w:color w:val="000000" w:themeColor="text1"/>
          <w:highlight w:val="yellow"/>
        </w:rPr>
        <w:t>dando sus características y evolución en el tiempo</w:t>
      </w:r>
      <w:r w:rsidR="002A7CDF" w:rsidRPr="00C20E75">
        <w:rPr>
          <w:bCs/>
          <w:color w:val="000000" w:themeColor="text1"/>
          <w:highlight w:val="yellow"/>
          <w:vertAlign w:val="superscript"/>
        </w:rPr>
        <w:t>17,18</w:t>
      </w:r>
      <w:r w:rsidR="007F5FAB" w:rsidRPr="00C20E75">
        <w:rPr>
          <w:bCs/>
          <w:color w:val="000000" w:themeColor="text1"/>
          <w:highlight w:val="yellow"/>
        </w:rPr>
        <w:t>.</w:t>
      </w:r>
    </w:p>
    <w:p w14:paraId="5AD3ED4B" w14:textId="77777777" w:rsidR="0021610D" w:rsidRPr="0021610D"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rPr>
        <w:t>En el año 2005 el Centro de Atención Toxicológica de la Pontificia Universidad Católica de Chile atendió 2.831 llamados telefónicos de pacientes con sospecha de loxoscelismo, confirmándose 287 de ellos</w:t>
      </w:r>
      <w:r w:rsidRPr="0021610D">
        <w:rPr>
          <w:bCs/>
          <w:color w:val="000000" w:themeColor="text1"/>
          <w:vertAlign w:val="superscript"/>
        </w:rPr>
        <w:t>1</w:t>
      </w:r>
      <w:r w:rsidR="002A7CDF">
        <w:rPr>
          <w:bCs/>
          <w:color w:val="000000" w:themeColor="text1"/>
          <w:vertAlign w:val="superscript"/>
        </w:rPr>
        <w:t>9</w:t>
      </w:r>
      <w:r w:rsidRPr="0021610D">
        <w:rPr>
          <w:bCs/>
          <w:color w:val="000000" w:themeColor="text1"/>
        </w:rPr>
        <w:t>. En el Hospital Clínico de la Universidad de Chile se siguieron y confirmaron 250 casos hospitalizados entre los años 1955 y 2000, con 56 casos pediátricos</w:t>
      </w:r>
      <w:r w:rsidR="002A7CDF">
        <w:rPr>
          <w:bCs/>
          <w:color w:val="000000" w:themeColor="text1"/>
          <w:vertAlign w:val="superscript"/>
        </w:rPr>
        <w:t>20</w:t>
      </w:r>
      <w:r w:rsidRPr="0021610D">
        <w:rPr>
          <w:bCs/>
          <w:color w:val="000000" w:themeColor="text1"/>
        </w:rPr>
        <w:t xml:space="preserve">. </w:t>
      </w:r>
    </w:p>
    <w:p w14:paraId="0F432FDD" w14:textId="77777777" w:rsidR="0021610D" w:rsidRPr="0021610D"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lang w:val="es-ES"/>
        </w:rPr>
        <w:t xml:space="preserve">El diagnóstico de </w:t>
      </w:r>
      <w:proofErr w:type="spellStart"/>
      <w:r w:rsidR="00145EEA">
        <w:rPr>
          <w:bCs/>
          <w:color w:val="000000" w:themeColor="text1"/>
          <w:lang w:val="es-ES"/>
        </w:rPr>
        <w:t>loxoscelismo</w:t>
      </w:r>
      <w:proofErr w:type="spellEnd"/>
      <w:r w:rsidR="00145EEA">
        <w:rPr>
          <w:bCs/>
          <w:color w:val="000000" w:themeColor="text1"/>
          <w:lang w:val="es-ES"/>
        </w:rPr>
        <w:t xml:space="preserve"> </w:t>
      </w:r>
      <w:r w:rsidRPr="0021610D">
        <w:rPr>
          <w:bCs/>
          <w:color w:val="000000" w:themeColor="text1"/>
          <w:lang w:val="es-ES"/>
        </w:rPr>
        <w:t xml:space="preserve">normalmente es clínico. La presencia de una lesión cutánea </w:t>
      </w:r>
      <w:r w:rsidR="00145EEA">
        <w:rPr>
          <w:bCs/>
          <w:color w:val="000000" w:themeColor="text1"/>
          <w:lang w:val="es-ES"/>
        </w:rPr>
        <w:t>e</w:t>
      </w:r>
      <w:r w:rsidRPr="0021610D">
        <w:rPr>
          <w:bCs/>
          <w:color w:val="000000" w:themeColor="text1"/>
          <w:lang w:val="es-ES"/>
        </w:rPr>
        <w:t xml:space="preserve"> historia epidemiológica compatible, suelen considerarse suficientes para establecer un diagnóstico de probable. </w:t>
      </w:r>
      <w:r w:rsidR="00EE69F7">
        <w:rPr>
          <w:bCs/>
          <w:color w:val="000000" w:themeColor="text1"/>
          <w:lang w:val="es-ES"/>
        </w:rPr>
        <w:t>S</w:t>
      </w:r>
      <w:r w:rsidRPr="0021610D">
        <w:rPr>
          <w:bCs/>
          <w:color w:val="000000" w:themeColor="text1"/>
          <w:lang w:val="es-ES"/>
        </w:rPr>
        <w:t xml:space="preserve">e puede tener certeza del diagnóstico cuando la araña </w:t>
      </w:r>
      <w:r w:rsidR="00BA5DAE">
        <w:rPr>
          <w:bCs/>
          <w:color w:val="000000" w:themeColor="text1"/>
          <w:lang w:val="es-ES"/>
        </w:rPr>
        <w:t>es</w:t>
      </w:r>
      <w:r w:rsidRPr="0021610D">
        <w:rPr>
          <w:bCs/>
          <w:color w:val="000000" w:themeColor="text1"/>
          <w:lang w:val="es-ES"/>
        </w:rPr>
        <w:t xml:space="preserve"> identificada y examinada por un experto</w:t>
      </w:r>
      <w:r w:rsidR="002A7CDF">
        <w:rPr>
          <w:bCs/>
          <w:color w:val="000000" w:themeColor="text1"/>
          <w:vertAlign w:val="superscript"/>
        </w:rPr>
        <w:t>21</w:t>
      </w:r>
      <w:r w:rsidR="0013362A">
        <w:rPr>
          <w:bCs/>
          <w:color w:val="000000" w:themeColor="text1"/>
          <w:vertAlign w:val="superscript"/>
        </w:rPr>
        <w:t>, 2</w:t>
      </w:r>
      <w:r w:rsidR="002A7CDF">
        <w:rPr>
          <w:bCs/>
          <w:color w:val="000000" w:themeColor="text1"/>
          <w:vertAlign w:val="superscript"/>
        </w:rPr>
        <w:t>2</w:t>
      </w:r>
      <w:r w:rsidRPr="0021610D">
        <w:rPr>
          <w:bCs/>
          <w:color w:val="000000" w:themeColor="text1"/>
        </w:rPr>
        <w:t>.</w:t>
      </w:r>
      <w:r w:rsidRPr="0021610D">
        <w:rPr>
          <w:bCs/>
          <w:color w:val="000000" w:themeColor="text1"/>
          <w:lang w:val="es-ES"/>
        </w:rPr>
        <w:t xml:space="preserve"> </w:t>
      </w:r>
    </w:p>
    <w:p w14:paraId="1F8FEE0E" w14:textId="77777777" w:rsidR="005E0080"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rPr>
        <w:t xml:space="preserve">Se han descrito dos cuadros clínicos asociados a la mordedura de esta araña. El loxoscelismo cutáneo </w:t>
      </w:r>
      <w:r w:rsidR="00BA5DAE">
        <w:rPr>
          <w:bCs/>
          <w:color w:val="000000" w:themeColor="text1"/>
        </w:rPr>
        <w:t xml:space="preserve">(LC) </w:t>
      </w:r>
      <w:r w:rsidRPr="0021610D">
        <w:rPr>
          <w:bCs/>
          <w:color w:val="000000" w:themeColor="text1"/>
        </w:rPr>
        <w:t>(83,3% del total</w:t>
      </w:r>
      <w:r w:rsidR="004D053F">
        <w:rPr>
          <w:bCs/>
          <w:color w:val="000000" w:themeColor="text1"/>
        </w:rPr>
        <w:t xml:space="preserve"> de casos</w:t>
      </w:r>
      <w:r w:rsidRPr="0021610D">
        <w:rPr>
          <w:bCs/>
          <w:color w:val="000000" w:themeColor="text1"/>
        </w:rPr>
        <w:t xml:space="preserve">) y </w:t>
      </w:r>
      <w:r w:rsidR="004D053F">
        <w:rPr>
          <w:bCs/>
          <w:color w:val="000000" w:themeColor="text1"/>
        </w:rPr>
        <w:t xml:space="preserve">el loxoscelismo </w:t>
      </w:r>
      <w:r w:rsidRPr="0021610D">
        <w:rPr>
          <w:bCs/>
          <w:color w:val="000000" w:themeColor="text1"/>
        </w:rPr>
        <w:t xml:space="preserve">cutáneo-visceral </w:t>
      </w:r>
      <w:r w:rsidR="00BA5DAE">
        <w:rPr>
          <w:bCs/>
          <w:color w:val="000000" w:themeColor="text1"/>
        </w:rPr>
        <w:lastRenderedPageBreak/>
        <w:t xml:space="preserve">(LCV) </w:t>
      </w:r>
      <w:r w:rsidRPr="0021610D">
        <w:rPr>
          <w:bCs/>
          <w:color w:val="000000" w:themeColor="text1"/>
        </w:rPr>
        <w:t>(13-16%</w:t>
      </w:r>
      <w:r w:rsidR="004D053F">
        <w:rPr>
          <w:bCs/>
          <w:color w:val="000000" w:themeColor="text1"/>
        </w:rPr>
        <w:t xml:space="preserve"> del total de casos</w:t>
      </w:r>
      <w:r w:rsidRPr="0021610D">
        <w:rPr>
          <w:bCs/>
          <w:color w:val="000000" w:themeColor="text1"/>
        </w:rPr>
        <w:t>)</w:t>
      </w:r>
      <w:r w:rsidR="004D053F">
        <w:rPr>
          <w:bCs/>
          <w:color w:val="000000" w:themeColor="text1"/>
          <w:vertAlign w:val="superscript"/>
        </w:rPr>
        <w:t>2</w:t>
      </w:r>
      <w:r w:rsidRPr="0021610D">
        <w:rPr>
          <w:bCs/>
          <w:color w:val="000000" w:themeColor="text1"/>
        </w:rPr>
        <w:t xml:space="preserve">. </w:t>
      </w:r>
    </w:p>
    <w:p w14:paraId="6FAC4E79" w14:textId="77777777" w:rsidR="0021610D" w:rsidRPr="0021610D"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rPr>
        <w:t xml:space="preserve">El </w:t>
      </w:r>
      <w:r w:rsidR="005E0080">
        <w:rPr>
          <w:bCs/>
          <w:color w:val="000000" w:themeColor="text1"/>
        </w:rPr>
        <w:t>LC</w:t>
      </w:r>
      <w:r w:rsidRPr="0021610D">
        <w:rPr>
          <w:bCs/>
          <w:color w:val="000000" w:themeColor="text1"/>
        </w:rPr>
        <w:t xml:space="preserve"> es un cuadro limitado, generalmente benigno, caracterizado por dolor, edema y eritema cutáneo (primeras 6 a 8 horas de la mordedura), </w:t>
      </w:r>
      <w:r w:rsidR="005E0080">
        <w:rPr>
          <w:bCs/>
          <w:color w:val="000000" w:themeColor="text1"/>
        </w:rPr>
        <w:t xml:space="preserve">que puede tener una ampolla central, y </w:t>
      </w:r>
      <w:r w:rsidRPr="0021610D">
        <w:rPr>
          <w:bCs/>
          <w:color w:val="000000" w:themeColor="text1"/>
        </w:rPr>
        <w:t xml:space="preserve">progresa a un halo de vasoconstricción e isquemia que se extiende alrededor de la lesión. </w:t>
      </w:r>
      <w:r w:rsidR="005E0080">
        <w:rPr>
          <w:bCs/>
          <w:color w:val="000000" w:themeColor="text1"/>
        </w:rPr>
        <w:t>A</w:t>
      </w:r>
      <w:r w:rsidRPr="0021610D">
        <w:rPr>
          <w:bCs/>
          <w:color w:val="000000" w:themeColor="text1"/>
        </w:rPr>
        <w:t xml:space="preserve"> los 5-7 días </w:t>
      </w:r>
      <w:r w:rsidR="00EC5A91">
        <w:rPr>
          <w:bCs/>
          <w:color w:val="000000" w:themeColor="text1"/>
        </w:rPr>
        <w:t>se forma la placa livedoide que</w:t>
      </w:r>
      <w:r w:rsidR="005E0080">
        <w:rPr>
          <w:bCs/>
          <w:color w:val="000000" w:themeColor="text1"/>
        </w:rPr>
        <w:t xml:space="preserve"> evoluciona</w:t>
      </w:r>
      <w:r w:rsidRPr="0021610D">
        <w:rPr>
          <w:bCs/>
          <w:color w:val="000000" w:themeColor="text1"/>
        </w:rPr>
        <w:t xml:space="preserve"> </w:t>
      </w:r>
      <w:r w:rsidR="00137045">
        <w:rPr>
          <w:bCs/>
          <w:color w:val="000000" w:themeColor="text1"/>
        </w:rPr>
        <w:t>con</w:t>
      </w:r>
      <w:r w:rsidRPr="0021610D">
        <w:rPr>
          <w:bCs/>
          <w:color w:val="000000" w:themeColor="text1"/>
        </w:rPr>
        <w:t xml:space="preserve"> ulceración y necrosis. </w:t>
      </w:r>
      <w:r w:rsidRPr="0021610D">
        <w:rPr>
          <w:bCs/>
          <w:color w:val="000000" w:themeColor="text1"/>
          <w:lang w:val="es-ES"/>
        </w:rPr>
        <w:t xml:space="preserve">El tejido necrótico se desprende después de 2-3 semanas, dejando una úlcera con tejido </w:t>
      </w:r>
      <w:proofErr w:type="spellStart"/>
      <w:r w:rsidRPr="0021610D">
        <w:rPr>
          <w:bCs/>
          <w:color w:val="000000" w:themeColor="text1"/>
          <w:lang w:val="es-ES"/>
        </w:rPr>
        <w:t>granulatorio</w:t>
      </w:r>
      <w:proofErr w:type="spellEnd"/>
      <w:r w:rsidR="00137045">
        <w:rPr>
          <w:bCs/>
          <w:color w:val="000000" w:themeColor="text1"/>
          <w:lang w:val="es-ES"/>
        </w:rPr>
        <w:t xml:space="preserve"> </w:t>
      </w:r>
      <w:r w:rsidRPr="0021610D">
        <w:rPr>
          <w:bCs/>
          <w:color w:val="000000" w:themeColor="text1"/>
          <w:lang w:val="es-ES"/>
        </w:rPr>
        <w:t>que puede tardar semanas o meses en cicatrizar</w:t>
      </w:r>
      <w:r w:rsidR="005E0080">
        <w:rPr>
          <w:bCs/>
          <w:color w:val="000000" w:themeColor="text1"/>
          <w:vertAlign w:val="superscript"/>
          <w:lang w:val="es-ES"/>
        </w:rPr>
        <w:t xml:space="preserve">14, </w:t>
      </w:r>
      <w:r w:rsidR="00647C6A">
        <w:rPr>
          <w:bCs/>
          <w:color w:val="000000" w:themeColor="text1"/>
          <w:vertAlign w:val="superscript"/>
          <w:lang w:val="es-ES"/>
        </w:rPr>
        <w:t>2</w:t>
      </w:r>
      <w:r w:rsidR="002A7CDF">
        <w:rPr>
          <w:bCs/>
          <w:color w:val="000000" w:themeColor="text1"/>
          <w:vertAlign w:val="superscript"/>
          <w:lang w:val="es-ES"/>
        </w:rPr>
        <w:t>3</w:t>
      </w:r>
      <w:r w:rsidRPr="0021610D">
        <w:rPr>
          <w:bCs/>
          <w:color w:val="000000" w:themeColor="text1"/>
          <w:lang w:val="es-ES"/>
        </w:rPr>
        <w:t xml:space="preserve">. La forma cutánea se puede asociar a síntomas sistémicos inespecíficos (hasta el 50% de los casos en las primeras 24-48 hrs). </w:t>
      </w:r>
      <w:r>
        <w:rPr>
          <w:bCs/>
          <w:color w:val="000000" w:themeColor="text1"/>
          <w:lang w:val="es-ES"/>
        </w:rPr>
        <w:t>También s</w:t>
      </w:r>
      <w:r w:rsidRPr="0021610D">
        <w:rPr>
          <w:bCs/>
          <w:color w:val="000000" w:themeColor="text1"/>
        </w:rPr>
        <w:t xml:space="preserve">e </w:t>
      </w:r>
      <w:r>
        <w:rPr>
          <w:bCs/>
          <w:color w:val="000000" w:themeColor="text1"/>
        </w:rPr>
        <w:t>h</w:t>
      </w:r>
      <w:r w:rsidRPr="0021610D">
        <w:rPr>
          <w:bCs/>
          <w:color w:val="000000" w:themeColor="text1"/>
        </w:rPr>
        <w:t xml:space="preserve">a descrito una variante edematosa de </w:t>
      </w:r>
      <w:r w:rsidR="00137045">
        <w:rPr>
          <w:bCs/>
          <w:color w:val="000000" w:themeColor="text1"/>
        </w:rPr>
        <w:t>LC</w:t>
      </w:r>
      <w:r w:rsidRPr="0021610D">
        <w:rPr>
          <w:bCs/>
          <w:color w:val="000000" w:themeColor="text1"/>
          <w:vertAlign w:val="superscript"/>
        </w:rPr>
        <w:t>1,</w:t>
      </w:r>
      <w:r w:rsidR="00FF113E">
        <w:rPr>
          <w:bCs/>
          <w:color w:val="000000" w:themeColor="text1"/>
          <w:vertAlign w:val="superscript"/>
        </w:rPr>
        <w:t>2</w:t>
      </w:r>
      <w:r w:rsidR="002A7CDF">
        <w:rPr>
          <w:bCs/>
          <w:color w:val="000000" w:themeColor="text1"/>
          <w:vertAlign w:val="superscript"/>
        </w:rPr>
        <w:t>4</w:t>
      </w:r>
      <w:r w:rsidR="005E0080">
        <w:rPr>
          <w:bCs/>
          <w:color w:val="000000" w:themeColor="text1"/>
          <w:vertAlign w:val="superscript"/>
        </w:rPr>
        <w:t>, 2</w:t>
      </w:r>
      <w:r w:rsidR="002A7CDF">
        <w:rPr>
          <w:bCs/>
          <w:color w:val="000000" w:themeColor="text1"/>
          <w:vertAlign w:val="superscript"/>
        </w:rPr>
        <w:t>5</w:t>
      </w:r>
      <w:r w:rsidRPr="0021610D">
        <w:rPr>
          <w:bCs/>
          <w:color w:val="000000" w:themeColor="text1"/>
        </w:rPr>
        <w:t xml:space="preserve">. </w:t>
      </w:r>
    </w:p>
    <w:p w14:paraId="404B6B6C" w14:textId="77777777" w:rsidR="0021610D" w:rsidRPr="0021610D"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rPr>
        <w:t xml:space="preserve">El </w:t>
      </w:r>
      <w:r w:rsidR="00137045">
        <w:rPr>
          <w:bCs/>
          <w:color w:val="000000" w:themeColor="text1"/>
        </w:rPr>
        <w:t xml:space="preserve">LCV </w:t>
      </w:r>
      <w:r w:rsidRPr="0021610D">
        <w:rPr>
          <w:bCs/>
          <w:color w:val="000000" w:themeColor="text1"/>
        </w:rPr>
        <w:t xml:space="preserve">se caracteriza por compromiso sistémico, caracterizado por compromiso del estado general, cefalea, mialgias, náuseas, vómitos, ictericia </w:t>
      </w:r>
      <w:r w:rsidR="008F76DA">
        <w:rPr>
          <w:bCs/>
          <w:color w:val="000000" w:themeColor="text1"/>
        </w:rPr>
        <w:t xml:space="preserve">y </w:t>
      </w:r>
      <w:r w:rsidRPr="0021610D">
        <w:rPr>
          <w:bCs/>
          <w:color w:val="000000" w:themeColor="text1"/>
        </w:rPr>
        <w:t>fiebre. Estos síntomas se presentan normalmente dentro de las primeras 24 horas. En los exámenes se evidencia hemólisis, hematuria, hemoglobinuria, ictericia, insuficiencia renal, anemia. El compromiso sistémico no se correlaciona con la severidad de las manifestaciones cutáneas</w:t>
      </w:r>
      <w:r w:rsidRPr="0021610D">
        <w:rPr>
          <w:bCs/>
          <w:color w:val="000000" w:themeColor="text1"/>
          <w:vertAlign w:val="superscript"/>
        </w:rPr>
        <w:t>1,</w:t>
      </w:r>
      <w:r w:rsidR="005E0080">
        <w:rPr>
          <w:bCs/>
          <w:color w:val="000000" w:themeColor="text1"/>
          <w:vertAlign w:val="superscript"/>
        </w:rPr>
        <w:t>2,</w:t>
      </w:r>
      <w:r w:rsidRPr="0021610D">
        <w:rPr>
          <w:bCs/>
          <w:color w:val="000000" w:themeColor="text1"/>
          <w:vertAlign w:val="superscript"/>
        </w:rPr>
        <w:t>1</w:t>
      </w:r>
      <w:r w:rsidR="001105D2">
        <w:rPr>
          <w:bCs/>
          <w:color w:val="000000" w:themeColor="text1"/>
          <w:vertAlign w:val="superscript"/>
        </w:rPr>
        <w:t>1</w:t>
      </w:r>
      <w:r w:rsidRPr="0021610D">
        <w:rPr>
          <w:bCs/>
          <w:color w:val="000000" w:themeColor="text1"/>
          <w:vertAlign w:val="superscript"/>
        </w:rPr>
        <w:t>,1</w:t>
      </w:r>
      <w:r w:rsidR="00647C6A">
        <w:rPr>
          <w:bCs/>
          <w:color w:val="000000" w:themeColor="text1"/>
          <w:vertAlign w:val="superscript"/>
        </w:rPr>
        <w:t>4</w:t>
      </w:r>
      <w:r w:rsidR="005E0080">
        <w:rPr>
          <w:bCs/>
          <w:color w:val="000000" w:themeColor="text1"/>
          <w:vertAlign w:val="superscript"/>
        </w:rPr>
        <w:t>,</w:t>
      </w:r>
      <w:r w:rsidR="00647C6A">
        <w:rPr>
          <w:bCs/>
          <w:color w:val="000000" w:themeColor="text1"/>
          <w:vertAlign w:val="superscript"/>
        </w:rPr>
        <w:t>2</w:t>
      </w:r>
      <w:r w:rsidR="002A7CDF">
        <w:rPr>
          <w:bCs/>
          <w:color w:val="000000" w:themeColor="text1"/>
          <w:vertAlign w:val="superscript"/>
        </w:rPr>
        <w:t>6</w:t>
      </w:r>
      <w:r w:rsidRPr="0021610D">
        <w:rPr>
          <w:bCs/>
          <w:color w:val="000000" w:themeColor="text1"/>
        </w:rPr>
        <w:t>.</w:t>
      </w:r>
    </w:p>
    <w:p w14:paraId="2864E4A1" w14:textId="77777777" w:rsidR="0021610D" w:rsidRPr="0021610D" w:rsidRDefault="0021610D" w:rsidP="009B5F22">
      <w:pPr>
        <w:widowControl w:val="0"/>
        <w:autoSpaceDE w:val="0"/>
        <w:autoSpaceDN w:val="0"/>
        <w:adjustRightInd w:val="0"/>
        <w:spacing w:after="240" w:line="360" w:lineRule="auto"/>
        <w:rPr>
          <w:bCs/>
          <w:color w:val="000000" w:themeColor="text1"/>
          <w:lang w:val="es-ES"/>
        </w:rPr>
      </w:pPr>
      <w:r w:rsidRPr="0021610D">
        <w:rPr>
          <w:bCs/>
          <w:color w:val="000000" w:themeColor="text1"/>
        </w:rPr>
        <w:t xml:space="preserve">No existen exámenes de laboratorio que confirmen el diagnóstico de </w:t>
      </w:r>
      <w:r w:rsidR="006C7669">
        <w:rPr>
          <w:bCs/>
          <w:color w:val="000000" w:themeColor="text1"/>
        </w:rPr>
        <w:t>LCV</w:t>
      </w:r>
      <w:r w:rsidRPr="0021610D">
        <w:rPr>
          <w:bCs/>
          <w:color w:val="000000" w:themeColor="text1"/>
        </w:rPr>
        <w:t>, pero lo más importante es determinar la presencia de hemólisis, hemoglobinuria o hematuria</w:t>
      </w:r>
      <w:r w:rsidRPr="0021610D">
        <w:rPr>
          <w:bCs/>
          <w:color w:val="000000" w:themeColor="text1"/>
          <w:vertAlign w:val="superscript"/>
        </w:rPr>
        <w:t>1</w:t>
      </w:r>
      <w:r w:rsidR="002A7CDF">
        <w:rPr>
          <w:bCs/>
          <w:color w:val="000000" w:themeColor="text1"/>
          <w:vertAlign w:val="superscript"/>
        </w:rPr>
        <w:t>9</w:t>
      </w:r>
      <w:r w:rsidRPr="0021610D">
        <w:rPr>
          <w:bCs/>
          <w:color w:val="000000" w:themeColor="text1"/>
        </w:rPr>
        <w:t xml:space="preserve">. </w:t>
      </w:r>
    </w:p>
    <w:p w14:paraId="41A3B886" w14:textId="77777777" w:rsidR="0021610D"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lang w:val="es-ES"/>
        </w:rPr>
        <w:t xml:space="preserve">Se han descrito diversos tratamientos para el </w:t>
      </w:r>
      <w:proofErr w:type="spellStart"/>
      <w:r w:rsidRPr="0021610D">
        <w:rPr>
          <w:bCs/>
          <w:color w:val="000000" w:themeColor="text1"/>
          <w:lang w:val="es-ES"/>
        </w:rPr>
        <w:t>loxoscelismo</w:t>
      </w:r>
      <w:proofErr w:type="spellEnd"/>
      <w:r w:rsidRPr="0021610D">
        <w:rPr>
          <w:bCs/>
          <w:color w:val="000000" w:themeColor="text1"/>
          <w:lang w:val="es-ES"/>
        </w:rPr>
        <w:t xml:space="preserve">, </w:t>
      </w:r>
      <w:r w:rsidR="00EC5A91">
        <w:rPr>
          <w:bCs/>
          <w:color w:val="000000" w:themeColor="text1"/>
          <w:lang w:val="es-ES"/>
        </w:rPr>
        <w:t>pero</w:t>
      </w:r>
      <w:r w:rsidRPr="0021610D">
        <w:rPr>
          <w:bCs/>
          <w:color w:val="000000" w:themeColor="text1"/>
          <w:lang w:val="es-ES"/>
        </w:rPr>
        <w:t xml:space="preserve"> hay poca evidencia para apoyar cualquiera de </w:t>
      </w:r>
      <w:r w:rsidR="00EC5A91">
        <w:rPr>
          <w:bCs/>
          <w:color w:val="000000" w:themeColor="text1"/>
          <w:lang w:val="es-ES"/>
        </w:rPr>
        <w:t>ellos</w:t>
      </w:r>
      <w:r w:rsidRPr="0021610D">
        <w:rPr>
          <w:bCs/>
          <w:color w:val="000000" w:themeColor="text1"/>
          <w:lang w:val="es-ES"/>
        </w:rPr>
        <w:t xml:space="preserve">, incluido el papel del suero </w:t>
      </w:r>
      <w:proofErr w:type="spellStart"/>
      <w:r w:rsidRPr="0021610D">
        <w:rPr>
          <w:bCs/>
          <w:color w:val="000000" w:themeColor="text1"/>
          <w:lang w:val="es-ES"/>
        </w:rPr>
        <w:t>antiloxosceles</w:t>
      </w:r>
      <w:proofErr w:type="spellEnd"/>
      <w:r w:rsidRPr="0021610D">
        <w:rPr>
          <w:bCs/>
          <w:color w:val="000000" w:themeColor="text1"/>
          <w:lang w:val="es-ES"/>
        </w:rPr>
        <w:t xml:space="preserve"> y el momento de su uso</w:t>
      </w:r>
      <w:r w:rsidRPr="0021610D">
        <w:rPr>
          <w:bCs/>
          <w:color w:val="000000" w:themeColor="text1"/>
          <w:vertAlign w:val="superscript"/>
          <w:lang w:val="es-ES"/>
        </w:rPr>
        <w:t>1,</w:t>
      </w:r>
      <w:r w:rsidR="00FF113E" w:rsidRPr="00FF113E">
        <w:rPr>
          <w:bCs/>
          <w:color w:val="000000" w:themeColor="text1"/>
          <w:vertAlign w:val="superscript"/>
          <w:lang w:val="es-ES"/>
        </w:rPr>
        <w:t>1</w:t>
      </w:r>
      <w:r w:rsidR="00647C6A">
        <w:rPr>
          <w:bCs/>
          <w:color w:val="000000" w:themeColor="text1"/>
          <w:vertAlign w:val="superscript"/>
          <w:lang w:val="es-ES"/>
        </w:rPr>
        <w:t>4</w:t>
      </w:r>
      <w:r w:rsidRPr="0021610D">
        <w:rPr>
          <w:bCs/>
          <w:color w:val="000000" w:themeColor="text1"/>
          <w:lang w:val="es-ES"/>
        </w:rPr>
        <w:t>.</w:t>
      </w:r>
    </w:p>
    <w:p w14:paraId="40EAC3D2" w14:textId="77777777" w:rsidR="0021610D" w:rsidRPr="0021610D"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rPr>
        <w:t xml:space="preserve">A pesar de que el loxoscelismo es un problema importante de salud pública en Chile y que genera gran impacto en la población, no existen </w:t>
      </w:r>
      <w:r w:rsidR="00374C91">
        <w:rPr>
          <w:bCs/>
          <w:color w:val="000000" w:themeColor="text1"/>
        </w:rPr>
        <w:t xml:space="preserve">muchos </w:t>
      </w:r>
      <w:r w:rsidRPr="0021610D">
        <w:rPr>
          <w:bCs/>
          <w:color w:val="000000" w:themeColor="text1"/>
        </w:rPr>
        <w:t xml:space="preserve">datos estadísticos que muestren la real incidencia del problema. </w:t>
      </w:r>
      <w:r w:rsidR="00035682">
        <w:rPr>
          <w:bCs/>
          <w:color w:val="000000" w:themeColor="text1"/>
        </w:rPr>
        <w:t>F</w:t>
      </w:r>
      <w:r w:rsidR="00035682" w:rsidRPr="0021610D">
        <w:rPr>
          <w:bCs/>
          <w:color w:val="000000" w:themeColor="text1"/>
        </w:rPr>
        <w:t>alta mucha información respecto a la epidemiología y tratamiento.</w:t>
      </w:r>
    </w:p>
    <w:p w14:paraId="096732A6" w14:textId="77777777" w:rsidR="00035682" w:rsidRDefault="0021610D" w:rsidP="009B5F22">
      <w:pPr>
        <w:widowControl w:val="0"/>
        <w:autoSpaceDE w:val="0"/>
        <w:autoSpaceDN w:val="0"/>
        <w:adjustRightInd w:val="0"/>
        <w:spacing w:after="240" w:line="360" w:lineRule="auto"/>
        <w:rPr>
          <w:bCs/>
          <w:color w:val="000000" w:themeColor="text1"/>
        </w:rPr>
      </w:pPr>
      <w:r w:rsidRPr="0021610D">
        <w:rPr>
          <w:bCs/>
          <w:color w:val="000000" w:themeColor="text1"/>
        </w:rPr>
        <w:t xml:space="preserve">En este contexto se diseñó un estudio, en el que se analizaron los datos de las fichas clínicas de los pacientes con </w:t>
      </w:r>
      <w:r w:rsidR="00035682">
        <w:rPr>
          <w:bCs/>
          <w:color w:val="000000" w:themeColor="text1"/>
        </w:rPr>
        <w:t>LC</w:t>
      </w:r>
      <w:r w:rsidRPr="0021610D">
        <w:rPr>
          <w:bCs/>
          <w:color w:val="000000" w:themeColor="text1"/>
        </w:rPr>
        <w:t xml:space="preserve"> y </w:t>
      </w:r>
      <w:r w:rsidR="00035682">
        <w:rPr>
          <w:bCs/>
          <w:color w:val="000000" w:themeColor="text1"/>
        </w:rPr>
        <w:t xml:space="preserve">LCV </w:t>
      </w:r>
      <w:r w:rsidRPr="0021610D">
        <w:rPr>
          <w:bCs/>
          <w:color w:val="000000" w:themeColor="text1"/>
        </w:rPr>
        <w:t>consultantes en los departamentos de Dermatología y en el Servicio de Urgencia de la Red de Salud UC-Christus entre los años 2013 y 1017</w:t>
      </w:r>
      <w:r w:rsidR="00035682">
        <w:rPr>
          <w:bCs/>
          <w:color w:val="000000" w:themeColor="text1"/>
        </w:rPr>
        <w:t xml:space="preserve">. </w:t>
      </w:r>
      <w:r w:rsidRPr="0021610D">
        <w:rPr>
          <w:bCs/>
          <w:color w:val="000000" w:themeColor="text1"/>
        </w:rPr>
        <w:t xml:space="preserve"> </w:t>
      </w:r>
    </w:p>
    <w:p w14:paraId="570EB83C" w14:textId="77777777" w:rsidR="0021610D" w:rsidRDefault="00A64451" w:rsidP="009B5F22">
      <w:pPr>
        <w:widowControl w:val="0"/>
        <w:autoSpaceDE w:val="0"/>
        <w:autoSpaceDN w:val="0"/>
        <w:adjustRightInd w:val="0"/>
        <w:spacing w:after="240" w:line="360" w:lineRule="auto"/>
        <w:rPr>
          <w:bCs/>
          <w:color w:val="000000" w:themeColor="text1"/>
        </w:rPr>
      </w:pPr>
      <w:r>
        <w:rPr>
          <w:bCs/>
          <w:color w:val="000000" w:themeColor="text1"/>
        </w:rPr>
        <w:t>El objetivo p</w:t>
      </w:r>
      <w:r w:rsidR="0047403D">
        <w:rPr>
          <w:bCs/>
          <w:color w:val="000000" w:themeColor="text1"/>
        </w:rPr>
        <w:t>rincipal</w:t>
      </w:r>
      <w:r>
        <w:rPr>
          <w:bCs/>
          <w:color w:val="000000" w:themeColor="text1"/>
        </w:rPr>
        <w:t xml:space="preserve"> fue</w:t>
      </w:r>
      <w:r w:rsidR="0047403D">
        <w:rPr>
          <w:bCs/>
          <w:color w:val="000000" w:themeColor="text1"/>
        </w:rPr>
        <w:t xml:space="preserve"> </w:t>
      </w:r>
      <w:r>
        <w:rPr>
          <w:bCs/>
          <w:color w:val="000000" w:themeColor="text1"/>
        </w:rPr>
        <w:t>c</w:t>
      </w:r>
      <w:r w:rsidR="00137045" w:rsidRPr="0021610D">
        <w:rPr>
          <w:bCs/>
          <w:color w:val="000000" w:themeColor="text1"/>
        </w:rPr>
        <w:t>aracteriz</w:t>
      </w:r>
      <w:r w:rsidR="00137045">
        <w:rPr>
          <w:bCs/>
          <w:color w:val="000000" w:themeColor="text1"/>
        </w:rPr>
        <w:t>ar la</w:t>
      </w:r>
      <w:r w:rsidR="00137045" w:rsidRPr="0021610D">
        <w:rPr>
          <w:bCs/>
          <w:color w:val="000000" w:themeColor="text1"/>
        </w:rPr>
        <w:t xml:space="preserve"> clínica y epidemiol</w:t>
      </w:r>
      <w:r w:rsidR="00137045">
        <w:rPr>
          <w:bCs/>
          <w:color w:val="000000" w:themeColor="text1"/>
        </w:rPr>
        <w:t>ogía</w:t>
      </w:r>
      <w:r w:rsidR="00137045" w:rsidRPr="0021610D">
        <w:rPr>
          <w:bCs/>
          <w:color w:val="000000" w:themeColor="text1"/>
        </w:rPr>
        <w:t xml:space="preserve"> de</w:t>
      </w:r>
      <w:r w:rsidR="00137045">
        <w:rPr>
          <w:bCs/>
          <w:color w:val="000000" w:themeColor="text1"/>
        </w:rPr>
        <w:t>l</w:t>
      </w:r>
      <w:r w:rsidR="00137045" w:rsidRPr="0021610D">
        <w:rPr>
          <w:bCs/>
          <w:color w:val="000000" w:themeColor="text1"/>
        </w:rPr>
        <w:t xml:space="preserve"> </w:t>
      </w:r>
      <w:r>
        <w:rPr>
          <w:bCs/>
          <w:color w:val="000000" w:themeColor="text1"/>
        </w:rPr>
        <w:t>LC</w:t>
      </w:r>
      <w:r w:rsidR="00137045" w:rsidRPr="0021610D">
        <w:rPr>
          <w:bCs/>
          <w:color w:val="000000" w:themeColor="text1"/>
        </w:rPr>
        <w:t xml:space="preserve"> y </w:t>
      </w:r>
      <w:r>
        <w:rPr>
          <w:bCs/>
          <w:color w:val="000000" w:themeColor="text1"/>
        </w:rPr>
        <w:t xml:space="preserve">LCV </w:t>
      </w:r>
      <w:r w:rsidR="00137045" w:rsidRPr="0021610D">
        <w:rPr>
          <w:bCs/>
          <w:color w:val="000000" w:themeColor="text1"/>
        </w:rPr>
        <w:t xml:space="preserve">en pacientes </w:t>
      </w:r>
      <w:r w:rsidR="00137045" w:rsidRPr="0021610D">
        <w:rPr>
          <w:bCs/>
          <w:color w:val="000000" w:themeColor="text1"/>
        </w:rPr>
        <w:lastRenderedPageBreak/>
        <w:t xml:space="preserve">atendidos </w:t>
      </w:r>
      <w:r w:rsidR="00374C91">
        <w:rPr>
          <w:bCs/>
          <w:color w:val="000000" w:themeColor="text1"/>
        </w:rPr>
        <w:t xml:space="preserve">durante este período. </w:t>
      </w:r>
    </w:p>
    <w:p w14:paraId="6ABEBCE5" w14:textId="77777777" w:rsidR="0047403D" w:rsidRPr="0021610D" w:rsidRDefault="00A64451" w:rsidP="009B5F22">
      <w:pPr>
        <w:widowControl w:val="0"/>
        <w:autoSpaceDE w:val="0"/>
        <w:autoSpaceDN w:val="0"/>
        <w:adjustRightInd w:val="0"/>
        <w:spacing w:after="240" w:line="360" w:lineRule="auto"/>
        <w:rPr>
          <w:bCs/>
          <w:color w:val="000000" w:themeColor="text1"/>
        </w:rPr>
      </w:pPr>
      <w:r>
        <w:rPr>
          <w:bCs/>
          <w:color w:val="000000" w:themeColor="text1"/>
        </w:rPr>
        <w:t>Además, l</w:t>
      </w:r>
      <w:r w:rsidR="0047403D" w:rsidRPr="0021610D">
        <w:rPr>
          <w:bCs/>
          <w:color w:val="000000" w:themeColor="text1"/>
        </w:rPr>
        <w:t xml:space="preserve">os datos obtenidos en este estudio podrían orientarnos a realizar futuros estudios prospectivos respecto y ver qué variables se podrían estudiar para poder contribuir </w:t>
      </w:r>
      <w:r w:rsidR="000865FF">
        <w:rPr>
          <w:bCs/>
          <w:color w:val="000000" w:themeColor="text1"/>
        </w:rPr>
        <w:t>al</w:t>
      </w:r>
      <w:r w:rsidR="0047403D" w:rsidRPr="0021610D">
        <w:rPr>
          <w:bCs/>
          <w:color w:val="000000" w:themeColor="text1"/>
        </w:rPr>
        <w:t xml:space="preserve"> manejo y/o diagnóstico de estos casos. </w:t>
      </w:r>
    </w:p>
    <w:p w14:paraId="32619AFF" w14:textId="77777777" w:rsidR="00060CE7" w:rsidRDefault="00060CE7" w:rsidP="009B5F22">
      <w:pPr>
        <w:widowControl w:val="0"/>
        <w:autoSpaceDE w:val="0"/>
        <w:autoSpaceDN w:val="0"/>
        <w:adjustRightInd w:val="0"/>
        <w:spacing w:after="240" w:line="360" w:lineRule="auto"/>
        <w:rPr>
          <w:b/>
          <w:color w:val="000000" w:themeColor="text1"/>
        </w:rPr>
      </w:pPr>
    </w:p>
    <w:p w14:paraId="65840180" w14:textId="77777777" w:rsidR="00BD3436" w:rsidRDefault="00BD3436" w:rsidP="009B5F22">
      <w:pPr>
        <w:widowControl w:val="0"/>
        <w:autoSpaceDE w:val="0"/>
        <w:autoSpaceDN w:val="0"/>
        <w:adjustRightInd w:val="0"/>
        <w:spacing w:after="240" w:line="360" w:lineRule="auto"/>
        <w:rPr>
          <w:b/>
          <w:color w:val="000000" w:themeColor="text1"/>
        </w:rPr>
      </w:pPr>
      <w:r w:rsidRPr="00BD3436">
        <w:rPr>
          <w:b/>
          <w:color w:val="000000" w:themeColor="text1"/>
        </w:rPr>
        <w:t xml:space="preserve">Material y </w:t>
      </w:r>
      <w:r w:rsidR="00410AC1">
        <w:rPr>
          <w:b/>
          <w:color w:val="000000" w:themeColor="text1"/>
        </w:rPr>
        <w:t>Método</w:t>
      </w:r>
      <w:r w:rsidRPr="00BD3436">
        <w:rPr>
          <w:b/>
          <w:color w:val="000000" w:themeColor="text1"/>
        </w:rPr>
        <w:t xml:space="preserve"> </w:t>
      </w:r>
    </w:p>
    <w:p w14:paraId="143A75AD" w14:textId="77777777" w:rsidR="00B46E04" w:rsidRPr="00BD3436" w:rsidRDefault="00B46E04" w:rsidP="009B5F22">
      <w:pPr>
        <w:widowControl w:val="0"/>
        <w:autoSpaceDE w:val="0"/>
        <w:autoSpaceDN w:val="0"/>
        <w:adjustRightInd w:val="0"/>
        <w:spacing w:after="240" w:line="360" w:lineRule="auto"/>
        <w:rPr>
          <w:bCs/>
          <w:color w:val="000000" w:themeColor="text1"/>
        </w:rPr>
      </w:pPr>
      <w:r w:rsidRPr="00B46E04">
        <w:rPr>
          <w:bCs/>
          <w:color w:val="000000" w:themeColor="text1"/>
        </w:rPr>
        <w:t xml:space="preserve">Este estudio fue aprobado por el Comité de Ética en Investigación de la Pontificia Universidad Católica de Chile. </w:t>
      </w:r>
    </w:p>
    <w:p w14:paraId="21C13016" w14:textId="77777777" w:rsidR="008E401F" w:rsidRPr="008E401F" w:rsidRDefault="00BD3436" w:rsidP="009B5F22">
      <w:pPr>
        <w:widowControl w:val="0"/>
        <w:autoSpaceDE w:val="0"/>
        <w:autoSpaceDN w:val="0"/>
        <w:adjustRightInd w:val="0"/>
        <w:spacing w:after="240" w:line="360" w:lineRule="auto"/>
        <w:rPr>
          <w:color w:val="000000" w:themeColor="text1"/>
        </w:rPr>
      </w:pPr>
      <w:r w:rsidRPr="00BD3436">
        <w:rPr>
          <w:color w:val="000000" w:themeColor="text1"/>
        </w:rPr>
        <w:t xml:space="preserve">Se </w:t>
      </w:r>
      <w:r w:rsidR="00BE2B40">
        <w:rPr>
          <w:color w:val="000000" w:themeColor="text1"/>
        </w:rPr>
        <w:t xml:space="preserve">realizó un estudio observacional retrospectivo, para lo cual se </w:t>
      </w:r>
      <w:r w:rsidRPr="00BD3436">
        <w:rPr>
          <w:color w:val="000000" w:themeColor="text1"/>
        </w:rPr>
        <w:t xml:space="preserve">analizaron todas las consultas por sospecha de mordedura de araña de rincón en el Servicio de Urgencias y Dermatología de la Red de Salud UC-Christus, registrados en el sistema de ficha clínica electrónica “ALERT”, </w:t>
      </w:r>
      <w:r w:rsidR="008E401F">
        <w:rPr>
          <w:color w:val="000000" w:themeColor="text1"/>
        </w:rPr>
        <w:t>entre</w:t>
      </w:r>
      <w:r w:rsidRPr="00BD3436">
        <w:rPr>
          <w:color w:val="000000" w:themeColor="text1"/>
        </w:rPr>
        <w:t xml:space="preserve"> </w:t>
      </w:r>
      <w:r w:rsidR="004A1FCB">
        <w:rPr>
          <w:color w:val="000000" w:themeColor="text1"/>
        </w:rPr>
        <w:t>e</w:t>
      </w:r>
      <w:r w:rsidRPr="00BD3436">
        <w:rPr>
          <w:color w:val="000000" w:themeColor="text1"/>
        </w:rPr>
        <w:t xml:space="preserve">nero del año 2013 </w:t>
      </w:r>
      <w:r w:rsidR="008E401F">
        <w:rPr>
          <w:color w:val="000000" w:themeColor="text1"/>
        </w:rPr>
        <w:t xml:space="preserve">y </w:t>
      </w:r>
      <w:r w:rsidR="004A1FCB">
        <w:rPr>
          <w:color w:val="000000" w:themeColor="text1"/>
        </w:rPr>
        <w:t>d</w:t>
      </w:r>
      <w:r w:rsidRPr="00BD3436">
        <w:rPr>
          <w:color w:val="000000" w:themeColor="text1"/>
        </w:rPr>
        <w:t>iciembre del</w:t>
      </w:r>
      <w:r w:rsidR="004A1FCB">
        <w:rPr>
          <w:color w:val="000000" w:themeColor="text1"/>
        </w:rPr>
        <w:t xml:space="preserve"> </w:t>
      </w:r>
      <w:r w:rsidRPr="00BD3436">
        <w:rPr>
          <w:color w:val="000000" w:themeColor="text1"/>
        </w:rPr>
        <w:t xml:space="preserve">2017. Se seleccionaron a aquellos pacientes registrados con diagnóstico confirmado de </w:t>
      </w:r>
      <w:r w:rsidR="00410AC1">
        <w:rPr>
          <w:color w:val="000000" w:themeColor="text1"/>
        </w:rPr>
        <w:t>LC</w:t>
      </w:r>
      <w:r w:rsidRPr="00BD3436">
        <w:rPr>
          <w:color w:val="000000" w:themeColor="text1"/>
        </w:rPr>
        <w:t xml:space="preserve"> (descripción clínica cutánea clásica o mordedura + examen morfológico del arácnido compatible). Se seleccionaron y consideraron como </w:t>
      </w:r>
      <w:r w:rsidR="00410AC1">
        <w:rPr>
          <w:color w:val="000000" w:themeColor="text1"/>
        </w:rPr>
        <w:t>LCV</w:t>
      </w:r>
      <w:r w:rsidRPr="00BD3436">
        <w:rPr>
          <w:color w:val="000000" w:themeColor="text1"/>
        </w:rPr>
        <w:t xml:space="preserve"> a aquellos pacientes con clínica cutánea clásica o mordedura + examen morfológico del arácnido compatible</w:t>
      </w:r>
      <w:r w:rsidR="00F01558">
        <w:rPr>
          <w:color w:val="000000" w:themeColor="text1"/>
        </w:rPr>
        <w:t xml:space="preserve"> +</w:t>
      </w:r>
      <w:r w:rsidR="00410AC1">
        <w:rPr>
          <w:color w:val="000000" w:themeColor="text1"/>
        </w:rPr>
        <w:t xml:space="preserve"> </w:t>
      </w:r>
      <w:r w:rsidR="00224AAA">
        <w:rPr>
          <w:color w:val="000000" w:themeColor="text1"/>
        </w:rPr>
        <w:t xml:space="preserve">diagnóstico </w:t>
      </w:r>
      <w:r w:rsidR="000865FF">
        <w:rPr>
          <w:color w:val="000000" w:themeColor="text1"/>
        </w:rPr>
        <w:t xml:space="preserve">explícito en la ficha clínica </w:t>
      </w:r>
      <w:r w:rsidR="00224AAA">
        <w:rPr>
          <w:color w:val="000000" w:themeColor="text1"/>
        </w:rPr>
        <w:t>de LCV</w:t>
      </w:r>
      <w:r w:rsidR="000865FF">
        <w:rPr>
          <w:color w:val="000000" w:themeColor="text1"/>
        </w:rPr>
        <w:t xml:space="preserve"> + evolución compatible</w:t>
      </w:r>
      <w:r w:rsidRPr="00BD3436">
        <w:rPr>
          <w:color w:val="000000" w:themeColor="text1"/>
        </w:rPr>
        <w:t xml:space="preserve">. </w:t>
      </w:r>
      <w:r w:rsidR="00410AC1">
        <w:rPr>
          <w:color w:val="000000" w:themeColor="text1"/>
        </w:rPr>
        <w:t>En</w:t>
      </w:r>
      <w:r w:rsidRPr="00BD3436">
        <w:rPr>
          <w:color w:val="000000" w:themeColor="text1"/>
        </w:rPr>
        <w:t xml:space="preserve"> los pacientes seleccionados se analizaron las siguientes variables: sexo, edad, fecha de la mordedura, ubicación geográfica, horas de evolución antes de la consulta, zona de la mordedura, signos clínicos de presentación, infección secundaria, </w:t>
      </w:r>
      <w:r w:rsidR="008E401F">
        <w:rPr>
          <w:color w:val="000000" w:themeColor="text1"/>
        </w:rPr>
        <w:t xml:space="preserve">resultados de </w:t>
      </w:r>
      <w:r w:rsidRPr="00BD3436">
        <w:rPr>
          <w:color w:val="000000" w:themeColor="text1"/>
        </w:rPr>
        <w:t xml:space="preserve">exámenes </w:t>
      </w:r>
      <w:r w:rsidR="000865FF">
        <w:rPr>
          <w:color w:val="000000" w:themeColor="text1"/>
        </w:rPr>
        <w:t xml:space="preserve">de laboratorio </w:t>
      </w:r>
      <w:r w:rsidRPr="00BD3436">
        <w:rPr>
          <w:color w:val="000000" w:themeColor="text1"/>
        </w:rPr>
        <w:t>solicitados, tipo de loxoscelismo y tratamiento realizado. Además, se determinó la proporción de cuadros cutáneos</w:t>
      </w:r>
      <w:r w:rsidR="008E401F">
        <w:rPr>
          <w:color w:val="000000" w:themeColor="text1"/>
        </w:rPr>
        <w:t xml:space="preserve"> clásicos, cutáneos edematosos y </w:t>
      </w:r>
      <w:r w:rsidRPr="00BD3436">
        <w:rPr>
          <w:color w:val="000000" w:themeColor="text1"/>
        </w:rPr>
        <w:t xml:space="preserve">cutáneos-viscerales. </w:t>
      </w:r>
    </w:p>
    <w:p w14:paraId="0B5E855A" w14:textId="77777777" w:rsidR="00B22E59" w:rsidRPr="00B22E59" w:rsidRDefault="00B22E59" w:rsidP="009B5F22">
      <w:pPr>
        <w:widowControl w:val="0"/>
        <w:autoSpaceDE w:val="0"/>
        <w:autoSpaceDN w:val="0"/>
        <w:adjustRightInd w:val="0"/>
        <w:spacing w:after="240" w:line="360" w:lineRule="auto"/>
        <w:rPr>
          <w:b/>
          <w:i/>
        </w:rPr>
      </w:pPr>
      <w:r w:rsidRPr="00B22E59">
        <w:rPr>
          <w:b/>
          <w:i/>
        </w:rPr>
        <w:t>Análisis estadístico</w:t>
      </w:r>
    </w:p>
    <w:p w14:paraId="442E7A81" w14:textId="77777777" w:rsidR="00B22E59" w:rsidRDefault="00BE2B40" w:rsidP="009B5F22">
      <w:pPr>
        <w:widowControl w:val="0"/>
        <w:autoSpaceDE w:val="0"/>
        <w:autoSpaceDN w:val="0"/>
        <w:adjustRightInd w:val="0"/>
        <w:spacing w:after="240" w:line="360" w:lineRule="auto"/>
      </w:pPr>
      <w:r>
        <w:t xml:space="preserve">Se realizó un análisis descriptivo de todas las variables consideradas, expresando como proporciones las </w:t>
      </w:r>
      <w:r w:rsidR="00B22E59" w:rsidRPr="00B22E59">
        <w:t xml:space="preserve">variables categóricas </w:t>
      </w:r>
      <w:r>
        <w:t xml:space="preserve">y como media las variables continuas. Para analizar la relación entre las variables categóricas se utilizó </w:t>
      </w:r>
      <w:r w:rsidR="00B22E59" w:rsidRPr="00B22E59">
        <w:t xml:space="preserve">el estadístico </w:t>
      </w:r>
      <w:r>
        <w:t xml:space="preserve">Chi2. </w:t>
      </w:r>
      <w:r w:rsidR="00B22E59" w:rsidRPr="00B22E59">
        <w:t>Se consideró significativo todo valor p</w:t>
      </w:r>
      <w:r>
        <w:t xml:space="preserve"> menor o igual a </w:t>
      </w:r>
      <w:r w:rsidR="00B22E59" w:rsidRPr="00B22E59">
        <w:t>0,05</w:t>
      </w:r>
      <w:r w:rsidR="00B22E59">
        <w:t xml:space="preserve">. </w:t>
      </w:r>
      <w:r>
        <w:t xml:space="preserve">Los análisis estadísticos fueron realizados </w:t>
      </w:r>
      <w:r>
        <w:lastRenderedPageBreak/>
        <w:t xml:space="preserve">en el programa estadístico STATA versión 14. </w:t>
      </w:r>
    </w:p>
    <w:p w14:paraId="461E722B" w14:textId="77777777" w:rsidR="008538DC" w:rsidRDefault="008538DC" w:rsidP="009B5F22">
      <w:pPr>
        <w:widowControl w:val="0"/>
        <w:autoSpaceDE w:val="0"/>
        <w:autoSpaceDN w:val="0"/>
        <w:adjustRightInd w:val="0"/>
        <w:spacing w:after="240" w:line="360" w:lineRule="auto"/>
        <w:rPr>
          <w:b/>
        </w:rPr>
      </w:pPr>
    </w:p>
    <w:p w14:paraId="190EA428" w14:textId="77777777" w:rsidR="002321FF" w:rsidRPr="008C1A27" w:rsidRDefault="002321FF" w:rsidP="009B5F22">
      <w:pPr>
        <w:widowControl w:val="0"/>
        <w:autoSpaceDE w:val="0"/>
        <w:autoSpaceDN w:val="0"/>
        <w:adjustRightInd w:val="0"/>
        <w:spacing w:after="240" w:line="360" w:lineRule="auto"/>
        <w:rPr>
          <w:b/>
        </w:rPr>
      </w:pPr>
      <w:r w:rsidRPr="008C1A27">
        <w:rPr>
          <w:b/>
        </w:rPr>
        <w:t>Resultados</w:t>
      </w:r>
    </w:p>
    <w:p w14:paraId="61BC3F69" w14:textId="77777777" w:rsidR="00437A95" w:rsidRDefault="007373B4" w:rsidP="009B5F22">
      <w:pPr>
        <w:widowControl w:val="0"/>
        <w:autoSpaceDE w:val="0"/>
        <w:autoSpaceDN w:val="0"/>
        <w:adjustRightInd w:val="0"/>
        <w:spacing w:after="240" w:line="360" w:lineRule="auto"/>
      </w:pPr>
      <w:r>
        <w:t>Se revisaron un total de 348 casos</w:t>
      </w:r>
      <w:r w:rsidR="00437A95">
        <w:t xml:space="preserve"> </w:t>
      </w:r>
      <w:r w:rsidR="00437A95" w:rsidRPr="008C1A27">
        <w:t>entre enero del año 2013 y diciembre del año 2017</w:t>
      </w:r>
      <w:r>
        <w:t>.</w:t>
      </w:r>
      <w:r w:rsidR="00437A95">
        <w:t xml:space="preserve"> De los 348 casos, se incluyeron 200 casos</w:t>
      </w:r>
      <w:r w:rsidR="00050A2D">
        <w:t xml:space="preserve"> según los criterios diagnósticos establecidos</w:t>
      </w:r>
      <w:r w:rsidR="00437A95">
        <w:t>. 148 casos fueron excluidos porque no cumplían con los criterios diagnósticos de loxoscelismo</w:t>
      </w:r>
      <w:r w:rsidR="00050A2D">
        <w:t xml:space="preserve"> o por información incompleta en la ficha clínica</w:t>
      </w:r>
      <w:r w:rsidR="00437A95">
        <w:t>.</w:t>
      </w:r>
      <w:r>
        <w:t xml:space="preserve"> </w:t>
      </w:r>
    </w:p>
    <w:p w14:paraId="0DD997C8" w14:textId="77777777" w:rsidR="002321FF" w:rsidRPr="008C1A27" w:rsidRDefault="002321FF" w:rsidP="009B5F22">
      <w:pPr>
        <w:widowControl w:val="0"/>
        <w:autoSpaceDE w:val="0"/>
        <w:autoSpaceDN w:val="0"/>
        <w:adjustRightInd w:val="0"/>
        <w:spacing w:after="240" w:line="360" w:lineRule="auto"/>
      </w:pPr>
      <w:r w:rsidRPr="008C1A27">
        <w:t>Las edades de los pacientes fluctuaron entre los 3 y 87 años, con una media de 40 años. Un 55,5% de los pacientes fue de sexo femenino. La mayor proporción de individuos fueron adultos</w:t>
      </w:r>
      <w:r w:rsidR="00B76644" w:rsidRPr="008C1A27">
        <w:t xml:space="preserve"> </w:t>
      </w:r>
      <w:r w:rsidRPr="008C1A27">
        <w:t xml:space="preserve">con </w:t>
      </w:r>
      <w:r w:rsidR="005A658E">
        <w:t>LC</w:t>
      </w:r>
      <w:r w:rsidRPr="008C1A27">
        <w:t xml:space="preserve"> clásico</w:t>
      </w:r>
      <w:r w:rsidRPr="00AD32AC">
        <w:rPr>
          <w:bCs/>
        </w:rPr>
        <w:t xml:space="preserve">. </w:t>
      </w:r>
      <w:r w:rsidRPr="008C1A27">
        <w:t>El 81.5% de</w:t>
      </w:r>
      <w:r w:rsidR="00050A2D">
        <w:t>l total de pacientes refirió</w:t>
      </w:r>
      <w:r w:rsidRPr="008C1A27">
        <w:t xml:space="preserve"> una moderdura o visualizó la araña. La mayoría de las mordeduras </w:t>
      </w:r>
      <w:r w:rsidR="00BA058E">
        <w:t>ocurrieron</w:t>
      </w:r>
      <w:r w:rsidRPr="008C1A27">
        <w:t xml:space="preserve"> en los meses de Noviembre, Diciembre</w:t>
      </w:r>
      <w:r w:rsidR="00455A2C">
        <w:t xml:space="preserve">, </w:t>
      </w:r>
      <w:r w:rsidRPr="008C1A27">
        <w:t>Enero</w:t>
      </w:r>
      <w:r w:rsidR="00455A2C">
        <w:t xml:space="preserve"> y Febrero</w:t>
      </w:r>
      <w:r w:rsidRPr="008C1A27">
        <w:rPr>
          <w:b/>
        </w:rPr>
        <w:t xml:space="preserve">. </w:t>
      </w:r>
      <w:r w:rsidR="00B76644" w:rsidRPr="008C1A27">
        <w:t>La localización más frecuente fue</w:t>
      </w:r>
      <w:r w:rsidRPr="008C1A27">
        <w:t xml:space="preserve"> extremidades inferiores, seguid</w:t>
      </w:r>
      <w:r w:rsidR="009D356C">
        <w:t>a</w:t>
      </w:r>
      <w:r w:rsidRPr="008C1A27">
        <w:t xml:space="preserve"> por extremid</w:t>
      </w:r>
      <w:r w:rsidR="00B76644" w:rsidRPr="008C1A27">
        <w:t>ad</w:t>
      </w:r>
      <w:r w:rsidRPr="008C1A27">
        <w:t>es superiores y abdomen</w:t>
      </w:r>
      <w:r w:rsidR="00082E30">
        <w:t xml:space="preserve"> (</w:t>
      </w:r>
      <w:r w:rsidR="009D356C" w:rsidRPr="009D356C">
        <w:rPr>
          <w:b/>
          <w:bCs/>
        </w:rPr>
        <w:t>Tabla 1</w:t>
      </w:r>
      <w:r w:rsidR="00082E30">
        <w:rPr>
          <w:b/>
          <w:bCs/>
        </w:rPr>
        <w:t>)</w:t>
      </w:r>
      <w:r w:rsidR="009D356C" w:rsidRPr="009D356C">
        <w:rPr>
          <w:b/>
          <w:bCs/>
        </w:rPr>
        <w:t xml:space="preserve">. </w:t>
      </w:r>
    </w:p>
    <w:p w14:paraId="6FA09810" w14:textId="77777777" w:rsidR="002321FF" w:rsidRPr="008C1A27" w:rsidRDefault="002321FF" w:rsidP="009B5F22">
      <w:pPr>
        <w:widowControl w:val="0"/>
        <w:autoSpaceDE w:val="0"/>
        <w:autoSpaceDN w:val="0"/>
        <w:adjustRightInd w:val="0"/>
        <w:spacing w:after="240" w:line="360" w:lineRule="auto"/>
      </w:pPr>
      <w:r w:rsidRPr="008C1A27">
        <w:t xml:space="preserve">Un 94,5% de los pacientes presentaron </w:t>
      </w:r>
      <w:r w:rsidR="009D356C">
        <w:t>LC</w:t>
      </w:r>
      <w:r w:rsidRPr="008C1A27">
        <w:t xml:space="preserve"> (89,5% </w:t>
      </w:r>
      <w:r w:rsidR="009D356C">
        <w:t>LC</w:t>
      </w:r>
      <w:r w:rsidRPr="008C1A27">
        <w:t xml:space="preserve"> clásico y 5% </w:t>
      </w:r>
      <w:r w:rsidR="009D356C">
        <w:t>LC</w:t>
      </w:r>
      <w:r w:rsidRPr="008C1A27">
        <w:t xml:space="preserve"> edematoso), y un 5,5% </w:t>
      </w:r>
      <w:r w:rsidR="009D356C">
        <w:t>LCV</w:t>
      </w:r>
      <w:r w:rsidR="00082E30">
        <w:t xml:space="preserve"> </w:t>
      </w:r>
      <w:r w:rsidR="00082E30" w:rsidRPr="00082E30">
        <w:rPr>
          <w:b/>
          <w:bCs/>
        </w:rPr>
        <w:t>(Tabla 1)</w:t>
      </w:r>
      <w:r w:rsidRPr="00082E30">
        <w:rPr>
          <w:b/>
          <w:bCs/>
        </w:rPr>
        <w:t>.</w:t>
      </w:r>
      <w:r w:rsidRPr="008C1A27">
        <w:t xml:space="preserve"> No hubo </w:t>
      </w:r>
      <w:r w:rsidR="00562417">
        <w:t>muertes</w:t>
      </w:r>
      <w:r w:rsidRPr="008C1A27">
        <w:t xml:space="preserve"> por loxoscelismo. Con respecto a los subtipos cutáneo y cutáneo visceral, no existieron diferencias estadísticamente significativas entre adultos (9</w:t>
      </w:r>
      <w:r w:rsidR="00562417">
        <w:t>4</w:t>
      </w:r>
      <w:r w:rsidRPr="008C1A27">
        <w:t>,</w:t>
      </w:r>
      <w:r w:rsidR="00562417">
        <w:t>7</w:t>
      </w:r>
      <w:r w:rsidRPr="008C1A27">
        <w:t xml:space="preserve">% y </w:t>
      </w:r>
      <w:r w:rsidR="00562417">
        <w:t>5</w:t>
      </w:r>
      <w:r w:rsidRPr="008C1A27">
        <w:t>,</w:t>
      </w:r>
      <w:r w:rsidR="00562417">
        <w:t>4</w:t>
      </w:r>
      <w:r w:rsidRPr="008C1A27">
        <w:t xml:space="preserve">%) y niños (92,3% y 7,7%), ni entre hombres (91% y </w:t>
      </w:r>
      <w:r w:rsidR="00C740A2">
        <w:t>9</w:t>
      </w:r>
      <w:r w:rsidRPr="008C1A27">
        <w:t xml:space="preserve">%) y mujeres (97,3% y 2,7%) en la ocurrencia de </w:t>
      </w:r>
      <w:r w:rsidR="00082E30">
        <w:t>e</w:t>
      </w:r>
      <w:r w:rsidRPr="008C1A27">
        <w:t>ste último (p</w:t>
      </w:r>
      <w:r w:rsidR="0074760C">
        <w:t>=</w:t>
      </w:r>
      <w:r w:rsidRPr="008C1A27">
        <w:t>0,</w:t>
      </w:r>
      <w:r w:rsidR="00C740A2">
        <w:t>72</w:t>
      </w:r>
      <w:r w:rsidRPr="008C1A27">
        <w:t xml:space="preserve"> y p</w:t>
      </w:r>
      <w:r w:rsidR="0074760C">
        <w:t>=</w:t>
      </w:r>
      <w:r w:rsidRPr="008C1A27">
        <w:t>0,</w:t>
      </w:r>
      <w:r w:rsidR="00C740A2">
        <w:t>053</w:t>
      </w:r>
      <w:r w:rsidRPr="008C1A27">
        <w:t xml:space="preserve"> respectivamente</w:t>
      </w:r>
      <w:r w:rsidR="00B76644" w:rsidRPr="008C1A27">
        <w:t>)</w:t>
      </w:r>
      <w:r w:rsidRPr="008C1A27">
        <w:t>. No hubo asociación significativa entre la localización de la mordedura y la presencia de compromiso visceral (p</w:t>
      </w:r>
      <w:r w:rsidR="0074760C">
        <w:t>=</w:t>
      </w:r>
      <w:r w:rsidRPr="008C1A27">
        <w:t>0,</w:t>
      </w:r>
      <w:r w:rsidR="00C740A2">
        <w:t>12</w:t>
      </w:r>
      <w:r w:rsidRPr="008C1A27">
        <w:t xml:space="preserve">). </w:t>
      </w:r>
    </w:p>
    <w:p w14:paraId="7EF697CB" w14:textId="77777777" w:rsidR="002321FF" w:rsidRPr="008C1A27" w:rsidRDefault="00C740A2" w:rsidP="009B5F22">
      <w:pPr>
        <w:pStyle w:val="NormalWeb"/>
        <w:shd w:val="clear" w:color="auto" w:fill="FFFFFF"/>
        <w:spacing w:line="360" w:lineRule="auto"/>
      </w:pPr>
      <w:r>
        <w:rPr>
          <w:lang w:val="es-ES_tradnl"/>
        </w:rPr>
        <w:t xml:space="preserve">Un </w:t>
      </w:r>
      <w:r>
        <w:t>32% de los pacientes con síntomas sistémicos evolucionaron a un LCV</w:t>
      </w:r>
      <w:r w:rsidR="00C32C9B">
        <w:t xml:space="preserve"> y un 1,7% de los pacientes sin síntomas sistémicos evolucionaron a un LCV (</w:t>
      </w:r>
      <w:r w:rsidR="00C32C9B" w:rsidRPr="00C740A2">
        <w:t>p &lt;0,001</w:t>
      </w:r>
      <w:r w:rsidR="00C32C9B">
        <w:t>)</w:t>
      </w:r>
      <w:r>
        <w:t>.</w:t>
      </w:r>
      <w:r w:rsidRPr="00C740A2">
        <w:t xml:space="preserve"> El 72,7% de los pacientes con LCV presentaron síntomas sistémicos (p &lt;0,001)</w:t>
      </w:r>
      <w:r>
        <w:t>.</w:t>
      </w:r>
      <w:r w:rsidRPr="00C740A2">
        <w:rPr>
          <w:b/>
        </w:rPr>
        <w:t xml:space="preserve"> </w:t>
      </w:r>
      <w:r w:rsidRPr="00C740A2">
        <w:t xml:space="preserve"> De ellos, los más frecuentes fueron fiebre y síntomas gastrointestinales (</w:t>
      </w:r>
      <w:r w:rsidRPr="00C740A2">
        <w:rPr>
          <w:b/>
        </w:rPr>
        <w:t>Tabla 2)</w:t>
      </w:r>
      <w:r w:rsidRPr="00C740A2">
        <w:t>. Los pacientes que desarrollaron síntomas sistémicos, tuvieron un riesgo 18,7 veces mayor de presentar LCV comparado con los que no presentaron síntomas sistémicos (p &lt;0,0001)</w:t>
      </w:r>
      <w:r w:rsidR="002321FF" w:rsidRPr="008C1A27">
        <w:t xml:space="preserve">. </w:t>
      </w:r>
    </w:p>
    <w:p w14:paraId="552A3BDC" w14:textId="77777777" w:rsidR="00AD32AC" w:rsidRDefault="002321FF" w:rsidP="009B5F22">
      <w:pPr>
        <w:widowControl w:val="0"/>
        <w:autoSpaceDE w:val="0"/>
        <w:autoSpaceDN w:val="0"/>
        <w:adjustRightInd w:val="0"/>
        <w:spacing w:line="360" w:lineRule="auto"/>
      </w:pPr>
      <w:r w:rsidRPr="008C1A27">
        <w:t xml:space="preserve">Todos los pacientes con LCV fueron hospitalizados. Un </w:t>
      </w:r>
      <w:r w:rsidR="00354A38">
        <w:t>63,6%</w:t>
      </w:r>
      <w:r w:rsidRPr="008C1A27">
        <w:t xml:space="preserve"> de los pacientes con LCV </w:t>
      </w:r>
      <w:r w:rsidRPr="008C1A27">
        <w:lastRenderedPageBreak/>
        <w:t xml:space="preserve">evolucionaron con celulitis asociada, presentando 3 veces más riesgo de desarrollar celulitis con respecto a los pacientes </w:t>
      </w:r>
      <w:r w:rsidR="00354A38">
        <w:t xml:space="preserve">con </w:t>
      </w:r>
      <w:r w:rsidRPr="008C1A27">
        <w:t>LC clásico</w:t>
      </w:r>
      <w:r w:rsidR="00F15DD5">
        <w:t xml:space="preserve"> </w:t>
      </w:r>
      <w:r w:rsidR="00F15DD5" w:rsidRPr="00F15DD5">
        <w:t>(p&lt;0.001)</w:t>
      </w:r>
      <w:r w:rsidRPr="00F15DD5">
        <w:t>.</w:t>
      </w:r>
      <w:r w:rsidRPr="008C1A27">
        <w:t xml:space="preserve"> Un 8,</w:t>
      </w:r>
      <w:r w:rsidR="00354A38">
        <w:t>5</w:t>
      </w:r>
      <w:r w:rsidRPr="008C1A27">
        <w:t xml:space="preserve">% de los pacientes con LC y un </w:t>
      </w:r>
      <w:r w:rsidR="00354A38">
        <w:t>9,1</w:t>
      </w:r>
      <w:r w:rsidRPr="008C1A27">
        <w:t xml:space="preserve">% de los con LCV presentó un rash cutáneo previo al uso de antibióticos sistémicos. </w:t>
      </w:r>
    </w:p>
    <w:p w14:paraId="50473D2A" w14:textId="77777777" w:rsidR="00466476" w:rsidRDefault="00466476" w:rsidP="009B5F22">
      <w:pPr>
        <w:widowControl w:val="0"/>
        <w:autoSpaceDE w:val="0"/>
        <w:autoSpaceDN w:val="0"/>
        <w:adjustRightInd w:val="0"/>
        <w:spacing w:line="360" w:lineRule="auto"/>
      </w:pPr>
    </w:p>
    <w:p w14:paraId="580250B8" w14:textId="77777777" w:rsidR="002321FF" w:rsidRPr="008C1A27" w:rsidRDefault="00235B0E" w:rsidP="009B5F22">
      <w:pPr>
        <w:widowControl w:val="0"/>
        <w:autoSpaceDE w:val="0"/>
        <w:autoSpaceDN w:val="0"/>
        <w:adjustRightInd w:val="0"/>
        <w:spacing w:line="360" w:lineRule="auto"/>
      </w:pPr>
      <w:r>
        <w:t>Respecto</w:t>
      </w:r>
      <w:r w:rsidR="002321FF" w:rsidRPr="008C1A27">
        <w:t xml:space="preserve"> a los exámenes de laboratorio, los pacientes con LCV presentaron </w:t>
      </w:r>
      <w:r w:rsidR="005071D3">
        <w:t xml:space="preserve">con </w:t>
      </w:r>
      <w:r w:rsidR="002321FF" w:rsidRPr="008C1A27">
        <w:t xml:space="preserve">mayor frecuencia </w:t>
      </w:r>
      <w:r w:rsidR="00DA26AF">
        <w:t xml:space="preserve">leucocitosis (p=0,021), </w:t>
      </w:r>
      <w:r w:rsidR="002321FF" w:rsidRPr="008C1A27">
        <w:t>leucopenia (p=0,001), trombocitopenia (p&lt;0,001), trombocitosis (p=0,001), PCR elevada (p=0,0</w:t>
      </w:r>
      <w:r w:rsidR="00DA26AF">
        <w:t>4</w:t>
      </w:r>
      <w:r w:rsidR="002321FF" w:rsidRPr="008C1A27">
        <w:t>), GPT elevada (p=0,0</w:t>
      </w:r>
      <w:r w:rsidR="00DA26AF">
        <w:t>2</w:t>
      </w:r>
      <w:r w:rsidR="002321FF" w:rsidRPr="008C1A27">
        <w:t xml:space="preserve">1), </w:t>
      </w:r>
      <w:r w:rsidR="00DA26AF">
        <w:t xml:space="preserve">TP disminuido </w:t>
      </w:r>
      <w:r w:rsidR="002321FF" w:rsidRPr="008C1A27">
        <w:t>(p=0,03</w:t>
      </w:r>
      <w:r w:rsidR="00DA26AF">
        <w:t>3</w:t>
      </w:r>
      <w:r w:rsidR="002321FF" w:rsidRPr="008C1A27">
        <w:t xml:space="preserve">), </w:t>
      </w:r>
      <w:r w:rsidR="00DA26AF">
        <w:t xml:space="preserve">TTPA disminuido (p=0,028), </w:t>
      </w:r>
      <w:r w:rsidR="002321FF" w:rsidRPr="008C1A27">
        <w:t>BUN elevado (p</w:t>
      </w:r>
      <w:r w:rsidR="00DA26AF" w:rsidRPr="008C1A27">
        <w:t>&lt;</w:t>
      </w:r>
      <w:r w:rsidR="002321FF" w:rsidRPr="008C1A27">
        <w:t>0,00</w:t>
      </w:r>
      <w:r w:rsidR="00DA26AF">
        <w:t>1</w:t>
      </w:r>
      <w:r w:rsidR="002321FF" w:rsidRPr="008C1A27">
        <w:t xml:space="preserve">), </w:t>
      </w:r>
      <w:r w:rsidR="00DA26AF">
        <w:t xml:space="preserve">creatinina plasmática elevada (p=0,006), </w:t>
      </w:r>
      <w:r w:rsidR="000E7A1D">
        <w:t>hematuria</w:t>
      </w:r>
      <w:r w:rsidR="002321FF" w:rsidRPr="008C1A27">
        <w:t xml:space="preserve"> (p</w:t>
      </w:r>
      <w:r w:rsidR="00DA26AF">
        <w:t>=</w:t>
      </w:r>
      <w:r w:rsidR="002321FF" w:rsidRPr="008C1A27">
        <w:t>0,00</w:t>
      </w:r>
      <w:r w:rsidR="00DA26AF">
        <w:t>7</w:t>
      </w:r>
      <w:r w:rsidR="002321FF" w:rsidRPr="008C1A27">
        <w:t>), respecto a los pacientes con LC</w:t>
      </w:r>
      <w:r w:rsidR="005071D3">
        <w:t xml:space="preserve"> </w:t>
      </w:r>
      <w:r w:rsidR="002321FF" w:rsidRPr="008C1A27">
        <w:rPr>
          <w:b/>
        </w:rPr>
        <w:t>(Tabla 3).</w:t>
      </w:r>
      <w:r w:rsidR="002321FF" w:rsidRPr="008C1A27">
        <w:t xml:space="preserve">  Un </w:t>
      </w:r>
      <w:r w:rsidR="00B41E90">
        <w:t>14</w:t>
      </w:r>
      <w:r w:rsidR="002321FF" w:rsidRPr="008C1A27">
        <w:t>% de</w:t>
      </w:r>
      <w:r w:rsidR="00114FD5">
        <w:t>l total de</w:t>
      </w:r>
      <w:r w:rsidR="002321FF" w:rsidRPr="008C1A27">
        <w:t xml:space="preserve"> pacientes con hematuria evolucionaron con LCV mientras que sólo un </w:t>
      </w:r>
      <w:r w:rsidR="00B41E90">
        <w:t>2,9</w:t>
      </w:r>
      <w:r w:rsidR="002321FF" w:rsidRPr="008C1A27">
        <w:t>% de</w:t>
      </w:r>
      <w:r w:rsidR="00114FD5">
        <w:t>l total de</w:t>
      </w:r>
      <w:r w:rsidR="002321FF" w:rsidRPr="008C1A27">
        <w:t xml:space="preserve"> pacientes que no tuv</w:t>
      </w:r>
      <w:r w:rsidR="00114FD5">
        <w:t>o</w:t>
      </w:r>
      <w:r w:rsidR="002321FF" w:rsidRPr="008C1A27">
        <w:t xml:space="preserve"> hematuria presentaron un LCV (p</w:t>
      </w:r>
      <w:r w:rsidR="00B41E90">
        <w:t>=</w:t>
      </w:r>
      <w:r w:rsidR="002321FF" w:rsidRPr="008C1A27">
        <w:t>0,00</w:t>
      </w:r>
      <w:r w:rsidR="00B41E90">
        <w:t>7</w:t>
      </w:r>
      <w:r w:rsidR="002321FF" w:rsidRPr="008C1A27">
        <w:t xml:space="preserve">). </w:t>
      </w:r>
      <w:r w:rsidR="00B41E90" w:rsidRPr="00F93EE5">
        <w:rPr>
          <w:color w:val="000000" w:themeColor="text1"/>
          <w:bdr w:val="none" w:sz="0" w:space="0" w:color="auto" w:frame="1"/>
          <w:shd w:val="clear" w:color="auto" w:fill="FFFFFF"/>
        </w:rPr>
        <w:t xml:space="preserve">Los pacientes con hematuria tienen 4,9 veces más riesgo de presentar </w:t>
      </w:r>
      <w:r w:rsidR="00F93EE5" w:rsidRPr="00F93EE5">
        <w:rPr>
          <w:color w:val="000000" w:themeColor="text1"/>
          <w:bdr w:val="none" w:sz="0" w:space="0" w:color="auto" w:frame="1"/>
          <w:shd w:val="clear" w:color="auto" w:fill="FFFFFF"/>
        </w:rPr>
        <w:t>LCV</w:t>
      </w:r>
      <w:r w:rsidR="00B41E90" w:rsidRPr="00F93EE5">
        <w:rPr>
          <w:color w:val="000000" w:themeColor="text1"/>
          <w:bdr w:val="none" w:sz="0" w:space="0" w:color="auto" w:frame="1"/>
          <w:shd w:val="clear" w:color="auto" w:fill="FFFFFF"/>
        </w:rPr>
        <w:t xml:space="preserve"> en comparación con los que no presentan hematuria, siendo esta asociación estadísticamente significativa (p</w:t>
      </w:r>
      <w:r w:rsidR="00F93EE5" w:rsidRPr="00F93EE5">
        <w:rPr>
          <w:color w:val="000000" w:themeColor="text1"/>
          <w:bdr w:val="none" w:sz="0" w:space="0" w:color="auto" w:frame="1"/>
          <w:shd w:val="clear" w:color="auto" w:fill="FFFFFF"/>
        </w:rPr>
        <w:t>=</w:t>
      </w:r>
      <w:r w:rsidR="00B41E90" w:rsidRPr="00F93EE5">
        <w:rPr>
          <w:color w:val="000000" w:themeColor="text1"/>
          <w:bdr w:val="none" w:sz="0" w:space="0" w:color="auto" w:frame="1"/>
          <w:shd w:val="clear" w:color="auto" w:fill="FFFFFF"/>
        </w:rPr>
        <w:t>0,023</w:t>
      </w:r>
      <w:r w:rsidR="00B41E90" w:rsidRPr="00F93EE5">
        <w:rPr>
          <w:color w:val="313131"/>
          <w:bdr w:val="none" w:sz="0" w:space="0" w:color="auto" w:frame="1"/>
          <w:shd w:val="clear" w:color="auto" w:fill="FFFFFF"/>
        </w:rPr>
        <w:t>)</w:t>
      </w:r>
      <w:r w:rsidR="00B41E90" w:rsidRPr="00F93EE5">
        <w:t xml:space="preserve">. </w:t>
      </w:r>
      <w:r w:rsidR="00114FD5">
        <w:t>N</w:t>
      </w:r>
      <w:r w:rsidR="00B41E90" w:rsidRPr="00B41E90">
        <w:t>o todos los pacientes con hematuria evolucionan con</w:t>
      </w:r>
      <w:r w:rsidR="0036575E">
        <w:t xml:space="preserve"> LCV</w:t>
      </w:r>
      <w:r w:rsidR="0099652F">
        <w:t xml:space="preserve"> (32,5% de los pacientes con LC tuvo hematuria)</w:t>
      </w:r>
      <w:r w:rsidR="00B41E90" w:rsidRPr="00B41E90">
        <w:t>.</w:t>
      </w:r>
    </w:p>
    <w:p w14:paraId="6BDF823A" w14:textId="77777777" w:rsidR="002321FF" w:rsidRPr="008C1A27" w:rsidRDefault="002321FF" w:rsidP="009B5F22">
      <w:pPr>
        <w:widowControl w:val="0"/>
        <w:autoSpaceDE w:val="0"/>
        <w:autoSpaceDN w:val="0"/>
        <w:adjustRightInd w:val="0"/>
        <w:spacing w:line="360" w:lineRule="auto"/>
      </w:pPr>
    </w:p>
    <w:p w14:paraId="7893CDAC" w14:textId="77777777" w:rsidR="002321FF" w:rsidRDefault="002321FF" w:rsidP="009B5F22">
      <w:pPr>
        <w:widowControl w:val="0"/>
        <w:autoSpaceDE w:val="0"/>
        <w:autoSpaceDN w:val="0"/>
        <w:adjustRightInd w:val="0"/>
        <w:spacing w:line="360" w:lineRule="auto"/>
      </w:pPr>
      <w:r w:rsidRPr="008C1A27">
        <w:t>Un 74% de los pacientes recibió analgesia oral o endovenosa, el 46,5% antihistamínicos y el 28,5% corticoides sistémicos</w:t>
      </w:r>
      <w:r w:rsidR="00B76644" w:rsidRPr="008C1A27">
        <w:t xml:space="preserve">. </w:t>
      </w:r>
      <w:r w:rsidRPr="008C1A27">
        <w:t>El 4</w:t>
      </w:r>
      <w:r w:rsidR="00F93EE5">
        <w:t>1,7</w:t>
      </w:r>
      <w:r w:rsidRPr="008C1A27">
        <w:t xml:space="preserve">% fue tratado con antibióticos sistémicos, y de ellos Cefadroxilo fue el más usado en un 27% de los casos. Con respecto al tratamiento, se observaron diferencias estadísticamente significativas entre pacientes </w:t>
      </w:r>
      <w:r w:rsidR="005071D3">
        <w:t xml:space="preserve">con </w:t>
      </w:r>
      <w:r w:rsidRPr="008C1A27">
        <w:t>LC y LCV, el 8</w:t>
      </w:r>
      <w:r w:rsidR="00F93EE5">
        <w:t>1,8</w:t>
      </w:r>
      <w:r w:rsidRPr="008C1A27">
        <w:t xml:space="preserve">% de </w:t>
      </w:r>
      <w:r w:rsidR="005071D3">
        <w:t xml:space="preserve">los </w:t>
      </w:r>
      <w:r w:rsidRPr="008C1A27">
        <w:t>pacientes</w:t>
      </w:r>
      <w:r w:rsidR="005071D3">
        <w:t xml:space="preserve"> con</w:t>
      </w:r>
      <w:r w:rsidRPr="008C1A27">
        <w:t xml:space="preserve"> LCV fue tratado con corticoides y antibióticos sistémicos (p&lt;0,001 y p=0,0</w:t>
      </w:r>
      <w:r w:rsidR="00F93EE5">
        <w:t>06</w:t>
      </w:r>
      <w:r w:rsidRPr="008C1A27">
        <w:t xml:space="preserve"> respectivamente). </w:t>
      </w:r>
      <w:r w:rsidR="005071D3">
        <w:t>Otros a</w:t>
      </w:r>
      <w:r w:rsidRPr="008C1A27">
        <w:t xml:space="preserve">ntibióticos como vancomicina, ampicilina-sulbactam, clindamicina, doxiciclina y cefazolina fueron más frecuentemente utilizados en LCV que </w:t>
      </w:r>
      <w:r w:rsidR="005071D3">
        <w:t xml:space="preserve">en </w:t>
      </w:r>
      <w:r w:rsidRPr="008C1A27">
        <w:t>LC (p&lt;0,05)</w:t>
      </w:r>
      <w:r w:rsidR="00B76644" w:rsidRPr="008C1A27">
        <w:t xml:space="preserve"> (</w:t>
      </w:r>
      <w:r w:rsidR="00B76644" w:rsidRPr="008C1A27">
        <w:rPr>
          <w:b/>
        </w:rPr>
        <w:t>Tabla 4)</w:t>
      </w:r>
      <w:r w:rsidR="00B76644" w:rsidRPr="008C1A27">
        <w:t xml:space="preserve">.  </w:t>
      </w:r>
    </w:p>
    <w:p w14:paraId="5946412F" w14:textId="77777777" w:rsidR="00B46E04" w:rsidRDefault="00B46E04" w:rsidP="009B5F22">
      <w:pPr>
        <w:widowControl w:val="0"/>
        <w:autoSpaceDE w:val="0"/>
        <w:autoSpaceDN w:val="0"/>
        <w:adjustRightInd w:val="0"/>
        <w:spacing w:line="360" w:lineRule="auto"/>
      </w:pPr>
    </w:p>
    <w:p w14:paraId="773F9218" w14:textId="77777777" w:rsidR="00B46E04" w:rsidRPr="008C1A27" w:rsidRDefault="00B46E04" w:rsidP="009B5F22">
      <w:pPr>
        <w:widowControl w:val="0"/>
        <w:autoSpaceDE w:val="0"/>
        <w:autoSpaceDN w:val="0"/>
        <w:adjustRightInd w:val="0"/>
        <w:spacing w:line="360" w:lineRule="auto"/>
      </w:pPr>
      <w:r>
        <w:t xml:space="preserve">En ningún paciente se utilizó suero anti-loxosceles. </w:t>
      </w:r>
    </w:p>
    <w:p w14:paraId="5CD4A3BE" w14:textId="77777777" w:rsidR="004A70DA" w:rsidRDefault="004A70DA" w:rsidP="009B5F22">
      <w:pPr>
        <w:widowControl w:val="0"/>
        <w:autoSpaceDE w:val="0"/>
        <w:autoSpaceDN w:val="0"/>
        <w:adjustRightInd w:val="0"/>
        <w:spacing w:after="240"/>
        <w:rPr>
          <w:b/>
        </w:rPr>
      </w:pPr>
    </w:p>
    <w:p w14:paraId="649AA822" w14:textId="77777777" w:rsidR="00B76644" w:rsidRDefault="00B22E59" w:rsidP="009B5F22">
      <w:pPr>
        <w:widowControl w:val="0"/>
        <w:autoSpaceDE w:val="0"/>
        <w:autoSpaceDN w:val="0"/>
        <w:adjustRightInd w:val="0"/>
        <w:spacing w:after="240"/>
        <w:rPr>
          <w:b/>
        </w:rPr>
      </w:pPr>
      <w:r w:rsidRPr="00B22E59">
        <w:rPr>
          <w:b/>
        </w:rPr>
        <w:t>Discusión</w:t>
      </w:r>
    </w:p>
    <w:p w14:paraId="1C3100B6" w14:textId="77777777" w:rsidR="00CB41B1" w:rsidRDefault="00CB41B1" w:rsidP="009B5F22">
      <w:pPr>
        <w:widowControl w:val="0"/>
        <w:autoSpaceDE w:val="0"/>
        <w:autoSpaceDN w:val="0"/>
        <w:adjustRightInd w:val="0"/>
        <w:spacing w:after="240" w:line="360" w:lineRule="auto"/>
        <w:rPr>
          <w:bCs/>
          <w:color w:val="000000" w:themeColor="text1"/>
        </w:rPr>
      </w:pPr>
      <w:r w:rsidRPr="00E20997">
        <w:rPr>
          <w:bCs/>
          <w:color w:val="000000" w:themeColor="text1"/>
        </w:rPr>
        <w:t>Result</w:t>
      </w:r>
      <w:r>
        <w:rPr>
          <w:bCs/>
          <w:color w:val="000000" w:themeColor="text1"/>
        </w:rPr>
        <w:t>ó</w:t>
      </w:r>
      <w:r w:rsidRPr="00E20997">
        <w:rPr>
          <w:bCs/>
          <w:color w:val="000000" w:themeColor="text1"/>
        </w:rPr>
        <w:t xml:space="preserve"> relevante caracterizar los casos de loxoscelismo</w:t>
      </w:r>
      <w:r>
        <w:rPr>
          <w:bCs/>
          <w:color w:val="000000" w:themeColor="text1"/>
        </w:rPr>
        <w:t xml:space="preserve"> que consultaron a nuestro</w:t>
      </w:r>
      <w:r w:rsidR="0074760C">
        <w:rPr>
          <w:bCs/>
          <w:color w:val="000000" w:themeColor="text1"/>
        </w:rPr>
        <w:t xml:space="preserve"> centro</w:t>
      </w:r>
      <w:r w:rsidRPr="00E20997">
        <w:rPr>
          <w:bCs/>
          <w:color w:val="000000" w:themeColor="text1"/>
        </w:rPr>
        <w:t xml:space="preserve">, ya que además de ser una enfermedad prevalente en Chile, los únicos registros </w:t>
      </w:r>
      <w:r>
        <w:rPr>
          <w:bCs/>
          <w:color w:val="000000" w:themeColor="text1"/>
        </w:rPr>
        <w:t xml:space="preserve">nacionales </w:t>
      </w:r>
      <w:r w:rsidRPr="00E20997">
        <w:rPr>
          <w:bCs/>
          <w:color w:val="000000" w:themeColor="text1"/>
        </w:rPr>
        <w:t>con lo que contamos</w:t>
      </w:r>
      <w:r>
        <w:rPr>
          <w:bCs/>
          <w:color w:val="000000" w:themeColor="text1"/>
        </w:rPr>
        <w:t>,</w:t>
      </w:r>
      <w:r w:rsidRPr="00E20997">
        <w:rPr>
          <w:bCs/>
          <w:color w:val="000000" w:themeColor="text1"/>
        </w:rPr>
        <w:t xml:space="preserve"> son la revisión que hubo entre los años </w:t>
      </w:r>
      <w:r w:rsidR="00F3493A">
        <w:rPr>
          <w:bCs/>
          <w:color w:val="000000" w:themeColor="text1"/>
        </w:rPr>
        <w:t>19</w:t>
      </w:r>
      <w:r w:rsidRPr="00E20997">
        <w:rPr>
          <w:bCs/>
          <w:color w:val="000000" w:themeColor="text1"/>
        </w:rPr>
        <w:t xml:space="preserve">50 y </w:t>
      </w:r>
      <w:r w:rsidR="006C17E8">
        <w:rPr>
          <w:bCs/>
          <w:color w:val="000000" w:themeColor="text1"/>
        </w:rPr>
        <w:t>2000</w:t>
      </w:r>
      <w:r w:rsidRPr="00E20997">
        <w:rPr>
          <w:bCs/>
          <w:color w:val="000000" w:themeColor="text1"/>
        </w:rPr>
        <w:t xml:space="preserve"> </w:t>
      </w:r>
      <w:r w:rsidR="00F3493A">
        <w:rPr>
          <w:bCs/>
          <w:color w:val="000000" w:themeColor="text1"/>
        </w:rPr>
        <w:t xml:space="preserve">publicada </w:t>
      </w:r>
      <w:r w:rsidRPr="00E20997">
        <w:rPr>
          <w:bCs/>
          <w:color w:val="000000" w:themeColor="text1"/>
        </w:rPr>
        <w:t xml:space="preserve">por </w:t>
      </w:r>
      <w:r w:rsidRPr="00E20997">
        <w:rPr>
          <w:bCs/>
          <w:color w:val="000000" w:themeColor="text1"/>
        </w:rPr>
        <w:lastRenderedPageBreak/>
        <w:t xml:space="preserve">Schenone </w:t>
      </w:r>
      <w:r>
        <w:rPr>
          <w:bCs/>
          <w:color w:val="000000" w:themeColor="text1"/>
        </w:rPr>
        <w:t xml:space="preserve">et al </w:t>
      </w:r>
      <w:r w:rsidR="00F3493A">
        <w:rPr>
          <w:bCs/>
          <w:color w:val="000000" w:themeColor="text1"/>
        </w:rPr>
        <w:t>(</w:t>
      </w:r>
      <w:r w:rsidRPr="00E20997">
        <w:rPr>
          <w:bCs/>
          <w:color w:val="000000" w:themeColor="text1"/>
        </w:rPr>
        <w:t>206 casos</w:t>
      </w:r>
      <w:r w:rsidR="00F3493A">
        <w:rPr>
          <w:bCs/>
          <w:color w:val="000000" w:themeColor="text1"/>
        </w:rPr>
        <w:t>)</w:t>
      </w:r>
      <w:r w:rsidR="002A7CDF">
        <w:rPr>
          <w:bCs/>
          <w:color w:val="000000" w:themeColor="text1"/>
          <w:vertAlign w:val="superscript"/>
        </w:rPr>
        <w:t>20</w:t>
      </w:r>
      <w:r w:rsidR="00F3493A">
        <w:rPr>
          <w:bCs/>
          <w:color w:val="000000" w:themeColor="text1"/>
        </w:rPr>
        <w:t>,</w:t>
      </w:r>
      <w:r w:rsidRPr="00E20997">
        <w:rPr>
          <w:bCs/>
          <w:color w:val="000000" w:themeColor="text1"/>
        </w:rPr>
        <w:t xml:space="preserve"> y el registro telefónico de las consultas al CITUC</w:t>
      </w:r>
      <w:r>
        <w:rPr>
          <w:bCs/>
          <w:color w:val="000000" w:themeColor="text1"/>
        </w:rPr>
        <w:t xml:space="preserve"> </w:t>
      </w:r>
      <w:r w:rsidR="00F3493A">
        <w:rPr>
          <w:bCs/>
          <w:color w:val="000000" w:themeColor="text1"/>
        </w:rPr>
        <w:t xml:space="preserve">publicada </w:t>
      </w:r>
      <w:r>
        <w:rPr>
          <w:bCs/>
          <w:color w:val="000000" w:themeColor="text1"/>
        </w:rPr>
        <w:t>por Ríos et al</w:t>
      </w:r>
      <w:r w:rsidR="0074760C">
        <w:rPr>
          <w:bCs/>
          <w:color w:val="000000" w:themeColor="text1"/>
        </w:rPr>
        <w:t xml:space="preserve"> </w:t>
      </w:r>
      <w:r w:rsidR="00F3493A">
        <w:rPr>
          <w:bCs/>
          <w:color w:val="000000" w:themeColor="text1"/>
        </w:rPr>
        <w:t>(</w:t>
      </w:r>
      <w:r w:rsidRPr="00E20997">
        <w:rPr>
          <w:bCs/>
          <w:color w:val="000000" w:themeColor="text1"/>
        </w:rPr>
        <w:t>2.83</w:t>
      </w:r>
      <w:r w:rsidR="00A87E44">
        <w:rPr>
          <w:bCs/>
          <w:color w:val="000000" w:themeColor="text1"/>
        </w:rPr>
        <w:t>1</w:t>
      </w:r>
      <w:r w:rsidRPr="00E20997">
        <w:rPr>
          <w:bCs/>
          <w:color w:val="000000" w:themeColor="text1"/>
        </w:rPr>
        <w:t xml:space="preserve"> consultas</w:t>
      </w:r>
      <w:r w:rsidR="00F3493A">
        <w:rPr>
          <w:bCs/>
          <w:color w:val="000000" w:themeColor="text1"/>
        </w:rPr>
        <w:t>)</w:t>
      </w:r>
      <w:r w:rsidR="00F3493A">
        <w:rPr>
          <w:bCs/>
          <w:color w:val="000000" w:themeColor="text1"/>
          <w:vertAlign w:val="superscript"/>
        </w:rPr>
        <w:t>1</w:t>
      </w:r>
      <w:r w:rsidR="002A7CDF">
        <w:rPr>
          <w:bCs/>
          <w:color w:val="000000" w:themeColor="text1"/>
          <w:vertAlign w:val="superscript"/>
        </w:rPr>
        <w:t>9</w:t>
      </w:r>
      <w:r w:rsidRPr="00E20997">
        <w:rPr>
          <w:bCs/>
          <w:color w:val="000000" w:themeColor="text1"/>
        </w:rPr>
        <w:t>.</w:t>
      </w:r>
      <w:r>
        <w:rPr>
          <w:bCs/>
          <w:color w:val="000000" w:themeColor="text1"/>
        </w:rPr>
        <w:t xml:space="preserve"> D</w:t>
      </w:r>
      <w:r w:rsidRPr="00E20997">
        <w:rPr>
          <w:bCs/>
          <w:color w:val="000000" w:themeColor="text1"/>
        </w:rPr>
        <w:t xml:space="preserve">entro de nuestros resultados </w:t>
      </w:r>
      <w:r w:rsidR="00F3493A">
        <w:rPr>
          <w:bCs/>
          <w:color w:val="000000" w:themeColor="text1"/>
        </w:rPr>
        <w:t xml:space="preserve">pudimos observar algunos </w:t>
      </w:r>
      <w:r w:rsidRPr="00E20997">
        <w:rPr>
          <w:bCs/>
          <w:color w:val="000000" w:themeColor="text1"/>
        </w:rPr>
        <w:t xml:space="preserve">datos </w:t>
      </w:r>
      <w:r w:rsidR="00F3493A">
        <w:rPr>
          <w:bCs/>
          <w:color w:val="000000" w:themeColor="text1"/>
        </w:rPr>
        <w:t>similares</w:t>
      </w:r>
      <w:r w:rsidRPr="00E20997">
        <w:rPr>
          <w:bCs/>
          <w:color w:val="000000" w:themeColor="text1"/>
        </w:rPr>
        <w:t xml:space="preserve"> y comparables</w:t>
      </w:r>
      <w:r>
        <w:rPr>
          <w:bCs/>
          <w:color w:val="000000" w:themeColor="text1"/>
        </w:rPr>
        <w:t xml:space="preserve"> con estos estudios</w:t>
      </w:r>
      <w:r w:rsidR="00F3493A">
        <w:rPr>
          <w:bCs/>
          <w:color w:val="000000" w:themeColor="text1"/>
        </w:rPr>
        <w:t>, como</w:t>
      </w:r>
      <w:r w:rsidRPr="00FF6AE7">
        <w:rPr>
          <w:bCs/>
          <w:color w:val="000000" w:themeColor="text1"/>
        </w:rPr>
        <w:t>:</w:t>
      </w:r>
      <w:r w:rsidRPr="00E20997">
        <w:rPr>
          <w:bCs/>
          <w:color w:val="000000" w:themeColor="text1"/>
        </w:rPr>
        <w:t xml:space="preserve"> </w:t>
      </w:r>
      <w:r w:rsidR="00F3493A">
        <w:rPr>
          <w:bCs/>
          <w:color w:val="000000" w:themeColor="text1"/>
        </w:rPr>
        <w:t>un amplio rango etario, proporción similar entre ambos sexos</w:t>
      </w:r>
      <w:r>
        <w:rPr>
          <w:bCs/>
          <w:color w:val="000000" w:themeColor="text1"/>
        </w:rPr>
        <w:t>,</w:t>
      </w:r>
      <w:r w:rsidRPr="00E20997">
        <w:rPr>
          <w:bCs/>
          <w:color w:val="000000" w:themeColor="text1"/>
        </w:rPr>
        <w:t xml:space="preserve"> la mayoría de l</w:t>
      </w:r>
      <w:r w:rsidR="00F3493A">
        <w:rPr>
          <w:bCs/>
          <w:color w:val="000000" w:themeColor="text1"/>
        </w:rPr>
        <w:t>os pacientes</w:t>
      </w:r>
      <w:r w:rsidRPr="00E20997">
        <w:rPr>
          <w:bCs/>
          <w:color w:val="000000" w:themeColor="text1"/>
        </w:rPr>
        <w:t xml:space="preserve"> </w:t>
      </w:r>
      <w:r w:rsidR="00F3493A">
        <w:rPr>
          <w:bCs/>
          <w:color w:val="000000" w:themeColor="text1"/>
        </w:rPr>
        <w:t>visualizó</w:t>
      </w:r>
      <w:r w:rsidRPr="00E20997">
        <w:rPr>
          <w:bCs/>
          <w:color w:val="000000" w:themeColor="text1"/>
        </w:rPr>
        <w:t xml:space="preserve"> la araña</w:t>
      </w:r>
      <w:r w:rsidR="00F3493A">
        <w:rPr>
          <w:bCs/>
          <w:color w:val="000000" w:themeColor="text1"/>
        </w:rPr>
        <w:t>,</w:t>
      </w:r>
      <w:r>
        <w:rPr>
          <w:bCs/>
          <w:color w:val="000000" w:themeColor="text1"/>
        </w:rPr>
        <w:t xml:space="preserve"> y </w:t>
      </w:r>
      <w:r w:rsidR="00F3493A">
        <w:rPr>
          <w:bCs/>
          <w:color w:val="000000" w:themeColor="text1"/>
        </w:rPr>
        <w:t xml:space="preserve">una </w:t>
      </w:r>
      <w:r>
        <w:rPr>
          <w:bCs/>
          <w:color w:val="000000" w:themeColor="text1"/>
        </w:rPr>
        <w:t>mayor prevalencia de mo</w:t>
      </w:r>
      <w:r w:rsidR="00F3493A">
        <w:rPr>
          <w:bCs/>
          <w:color w:val="000000" w:themeColor="text1"/>
        </w:rPr>
        <w:t>rdeduras</w:t>
      </w:r>
      <w:r>
        <w:rPr>
          <w:bCs/>
          <w:color w:val="000000" w:themeColor="text1"/>
        </w:rPr>
        <w:t xml:space="preserve"> en </w:t>
      </w:r>
      <w:r w:rsidR="00F3493A">
        <w:rPr>
          <w:bCs/>
          <w:color w:val="000000" w:themeColor="text1"/>
        </w:rPr>
        <w:t xml:space="preserve">las </w:t>
      </w:r>
      <w:r>
        <w:rPr>
          <w:bCs/>
          <w:color w:val="000000" w:themeColor="text1"/>
        </w:rPr>
        <w:t>extremidades. También destacamos una tendencia</w:t>
      </w:r>
      <w:r w:rsidRPr="00E20997">
        <w:rPr>
          <w:bCs/>
          <w:color w:val="000000" w:themeColor="text1"/>
        </w:rPr>
        <w:t xml:space="preserve"> </w:t>
      </w:r>
      <w:r w:rsidR="00F3493A">
        <w:rPr>
          <w:bCs/>
          <w:color w:val="000000" w:themeColor="text1"/>
        </w:rPr>
        <w:t xml:space="preserve">estival de presentación de las mordeduras. </w:t>
      </w:r>
    </w:p>
    <w:p w14:paraId="1EF51039" w14:textId="77777777" w:rsidR="001E772B" w:rsidRDefault="00227E97" w:rsidP="009B5F22">
      <w:pPr>
        <w:widowControl w:val="0"/>
        <w:autoSpaceDE w:val="0"/>
        <w:autoSpaceDN w:val="0"/>
        <w:adjustRightInd w:val="0"/>
        <w:spacing w:after="240" w:line="360" w:lineRule="auto"/>
        <w:rPr>
          <w:bCs/>
          <w:color w:val="000000" w:themeColor="text1"/>
        </w:rPr>
      </w:pPr>
      <w:r>
        <w:rPr>
          <w:bCs/>
          <w:color w:val="000000" w:themeColor="text1"/>
        </w:rPr>
        <w:t xml:space="preserve">Si bien </w:t>
      </w:r>
      <w:r w:rsidR="00024673">
        <w:rPr>
          <w:bCs/>
          <w:color w:val="000000" w:themeColor="text1"/>
        </w:rPr>
        <w:t xml:space="preserve">en Chile </w:t>
      </w:r>
      <w:r w:rsidR="00F3493A">
        <w:rPr>
          <w:bCs/>
          <w:color w:val="000000" w:themeColor="text1"/>
        </w:rPr>
        <w:t xml:space="preserve">se </w:t>
      </w:r>
      <w:r w:rsidR="004A70DA">
        <w:rPr>
          <w:bCs/>
          <w:color w:val="000000" w:themeColor="text1"/>
        </w:rPr>
        <w:t xml:space="preserve">ha </w:t>
      </w:r>
      <w:r>
        <w:rPr>
          <w:bCs/>
          <w:color w:val="000000" w:themeColor="text1"/>
        </w:rPr>
        <w:t>descrit</w:t>
      </w:r>
      <w:r w:rsidR="00F3493A">
        <w:rPr>
          <w:bCs/>
          <w:color w:val="000000" w:themeColor="text1"/>
        </w:rPr>
        <w:t>o</w:t>
      </w:r>
      <w:r>
        <w:rPr>
          <w:bCs/>
          <w:color w:val="000000" w:themeColor="text1"/>
        </w:rPr>
        <w:t xml:space="preserve"> una </w:t>
      </w:r>
      <w:r w:rsidR="00024673">
        <w:rPr>
          <w:bCs/>
          <w:color w:val="000000" w:themeColor="text1"/>
        </w:rPr>
        <w:t xml:space="preserve">letalidad </w:t>
      </w:r>
      <w:r w:rsidR="000D3192">
        <w:rPr>
          <w:bCs/>
          <w:color w:val="000000" w:themeColor="text1"/>
        </w:rPr>
        <w:t xml:space="preserve">de </w:t>
      </w:r>
      <w:r w:rsidR="00F3493A">
        <w:rPr>
          <w:bCs/>
          <w:color w:val="000000" w:themeColor="text1"/>
        </w:rPr>
        <w:t>1</w:t>
      </w:r>
      <w:r w:rsidR="000D3192">
        <w:rPr>
          <w:bCs/>
          <w:color w:val="000000" w:themeColor="text1"/>
        </w:rPr>
        <w:t>-</w:t>
      </w:r>
      <w:r w:rsidR="00F3493A">
        <w:rPr>
          <w:bCs/>
          <w:color w:val="000000" w:themeColor="text1"/>
        </w:rPr>
        <w:t xml:space="preserve">3% </w:t>
      </w:r>
      <w:r w:rsidR="00024673">
        <w:rPr>
          <w:bCs/>
          <w:color w:val="000000" w:themeColor="text1"/>
        </w:rPr>
        <w:t xml:space="preserve">para </w:t>
      </w:r>
      <w:r w:rsidR="000D3192">
        <w:rPr>
          <w:bCs/>
          <w:color w:val="000000" w:themeColor="text1"/>
        </w:rPr>
        <w:t xml:space="preserve">LC y de </w:t>
      </w:r>
      <w:r w:rsidR="00024673">
        <w:rPr>
          <w:bCs/>
          <w:color w:val="000000" w:themeColor="text1"/>
        </w:rPr>
        <w:t>20-25% para LCV</w:t>
      </w:r>
      <w:r w:rsidR="00FF113E">
        <w:rPr>
          <w:bCs/>
          <w:color w:val="000000" w:themeColor="text1"/>
          <w:vertAlign w:val="superscript"/>
        </w:rPr>
        <w:t>2</w:t>
      </w:r>
      <w:r w:rsidR="00C6509C">
        <w:rPr>
          <w:bCs/>
          <w:color w:val="000000" w:themeColor="text1"/>
          <w:vertAlign w:val="superscript"/>
        </w:rPr>
        <w:t>0</w:t>
      </w:r>
      <w:r>
        <w:rPr>
          <w:bCs/>
          <w:color w:val="000000" w:themeColor="text1"/>
        </w:rPr>
        <w:t xml:space="preserve">, en nuestro estudio no </w:t>
      </w:r>
      <w:r w:rsidR="000D3192">
        <w:rPr>
          <w:bCs/>
          <w:color w:val="000000" w:themeColor="text1"/>
        </w:rPr>
        <w:t xml:space="preserve">se registraron muertes </w:t>
      </w:r>
      <w:r>
        <w:rPr>
          <w:bCs/>
          <w:color w:val="000000" w:themeColor="text1"/>
        </w:rPr>
        <w:t xml:space="preserve">por Loxoscelismo. </w:t>
      </w:r>
      <w:r w:rsidR="000D3192">
        <w:rPr>
          <w:bCs/>
          <w:color w:val="000000" w:themeColor="text1"/>
        </w:rPr>
        <w:t xml:space="preserve">Esto pudiera deberse, en parte, </w:t>
      </w:r>
      <w:r w:rsidR="00E91090">
        <w:rPr>
          <w:bCs/>
          <w:color w:val="000000" w:themeColor="text1"/>
        </w:rPr>
        <w:t>a que</w:t>
      </w:r>
      <w:r w:rsidR="004A70DA">
        <w:rPr>
          <w:bCs/>
          <w:color w:val="000000" w:themeColor="text1"/>
        </w:rPr>
        <w:t xml:space="preserve"> la población consultó</w:t>
      </w:r>
      <w:r w:rsidR="000D3192">
        <w:rPr>
          <w:bCs/>
          <w:color w:val="000000" w:themeColor="text1"/>
        </w:rPr>
        <w:t xml:space="preserve"> forma </w:t>
      </w:r>
      <w:r w:rsidR="00024673">
        <w:rPr>
          <w:bCs/>
          <w:color w:val="000000" w:themeColor="text1"/>
        </w:rPr>
        <w:t>tempran</w:t>
      </w:r>
      <w:r w:rsidR="000D3192">
        <w:rPr>
          <w:bCs/>
          <w:color w:val="000000" w:themeColor="text1"/>
        </w:rPr>
        <w:t>a</w:t>
      </w:r>
      <w:r w:rsidR="00BD04C7">
        <w:rPr>
          <w:bCs/>
          <w:color w:val="000000" w:themeColor="text1"/>
        </w:rPr>
        <w:t xml:space="preserve"> (la gran mayoría dentro de las primeras 24 horas)</w:t>
      </w:r>
      <w:r w:rsidR="004A70DA">
        <w:rPr>
          <w:bCs/>
          <w:color w:val="000000" w:themeColor="text1"/>
        </w:rPr>
        <w:t>,</w:t>
      </w:r>
      <w:r w:rsidR="00024673">
        <w:rPr>
          <w:bCs/>
          <w:color w:val="000000" w:themeColor="text1"/>
        </w:rPr>
        <w:t xml:space="preserve"> y </w:t>
      </w:r>
      <w:r w:rsidR="004A70DA">
        <w:rPr>
          <w:bCs/>
          <w:color w:val="000000" w:themeColor="text1"/>
        </w:rPr>
        <w:t>por l</w:t>
      </w:r>
      <w:r w:rsidR="00024673">
        <w:rPr>
          <w:bCs/>
          <w:color w:val="000000" w:themeColor="text1"/>
        </w:rPr>
        <w:t>a disponiblidad de una guía MINSAL para el reconocimiento precoz y el tratamiento</w:t>
      </w:r>
      <w:r w:rsidR="004A70DA">
        <w:rPr>
          <w:bCs/>
          <w:color w:val="000000" w:themeColor="text1"/>
        </w:rPr>
        <w:t xml:space="preserve"> de</w:t>
      </w:r>
      <w:r w:rsidR="0074760C">
        <w:rPr>
          <w:bCs/>
          <w:color w:val="000000" w:themeColor="text1"/>
        </w:rPr>
        <w:t>l LCV</w:t>
      </w:r>
      <w:r w:rsidR="00BD04C7">
        <w:rPr>
          <w:bCs/>
          <w:color w:val="000000" w:themeColor="text1"/>
          <w:vertAlign w:val="superscript"/>
        </w:rPr>
        <w:t>2</w:t>
      </w:r>
      <w:r w:rsidR="002A7CDF">
        <w:rPr>
          <w:bCs/>
          <w:color w:val="000000" w:themeColor="text1"/>
          <w:vertAlign w:val="superscript"/>
        </w:rPr>
        <w:t>2</w:t>
      </w:r>
      <w:r w:rsidR="000D3192">
        <w:rPr>
          <w:bCs/>
          <w:color w:val="000000" w:themeColor="text1"/>
        </w:rPr>
        <w:t>. Otra causa posible es que</w:t>
      </w:r>
      <w:r w:rsidR="00CB41B1">
        <w:rPr>
          <w:bCs/>
          <w:color w:val="000000" w:themeColor="text1"/>
        </w:rPr>
        <w:t xml:space="preserve"> tuvimos una menor prevalencia de casos </w:t>
      </w:r>
      <w:r w:rsidR="00D0359B">
        <w:rPr>
          <w:bCs/>
          <w:color w:val="000000" w:themeColor="text1"/>
        </w:rPr>
        <w:t>de</w:t>
      </w:r>
      <w:r w:rsidR="00CB41B1">
        <w:rPr>
          <w:bCs/>
          <w:color w:val="000000" w:themeColor="text1"/>
        </w:rPr>
        <w:t xml:space="preserve"> LCV</w:t>
      </w:r>
      <w:r w:rsidR="000D3192">
        <w:rPr>
          <w:bCs/>
          <w:color w:val="000000" w:themeColor="text1"/>
        </w:rPr>
        <w:t xml:space="preserve"> (5,5% del total de casos), respecto a lo descrito en la literatura (18% del total de casos)</w:t>
      </w:r>
      <w:r w:rsidR="002A7CDF">
        <w:rPr>
          <w:bCs/>
          <w:color w:val="000000" w:themeColor="text1"/>
          <w:vertAlign w:val="superscript"/>
        </w:rPr>
        <w:t>20</w:t>
      </w:r>
      <w:r w:rsidR="00CB41B1">
        <w:rPr>
          <w:bCs/>
          <w:color w:val="000000" w:themeColor="text1"/>
        </w:rPr>
        <w:t>.</w:t>
      </w:r>
      <w:r w:rsidR="001E772B">
        <w:rPr>
          <w:bCs/>
          <w:color w:val="000000" w:themeColor="text1"/>
        </w:rPr>
        <w:t xml:space="preserve"> Esta menor proporción de LCV pudiera deberse a mayor consulta de la población debido a este cuadro clínico. Puede que en los años en que fueron realizados los estudios anteriores, haya habido una mayor proporción LC que nunca consultó. </w:t>
      </w:r>
    </w:p>
    <w:p w14:paraId="3A7C26D6" w14:textId="77777777" w:rsidR="00E20997" w:rsidRDefault="000D3192" w:rsidP="009B5F22">
      <w:pPr>
        <w:widowControl w:val="0"/>
        <w:autoSpaceDE w:val="0"/>
        <w:autoSpaceDN w:val="0"/>
        <w:adjustRightInd w:val="0"/>
        <w:spacing w:after="240" w:line="360" w:lineRule="auto"/>
        <w:rPr>
          <w:bCs/>
          <w:color w:val="000000" w:themeColor="text1"/>
        </w:rPr>
      </w:pPr>
      <w:r>
        <w:rPr>
          <w:bCs/>
          <w:color w:val="000000" w:themeColor="text1"/>
        </w:rPr>
        <w:t xml:space="preserve">Existen interrogantes relevantes que se podrían resolver en estudios futuros. </w:t>
      </w:r>
      <w:r w:rsidR="00DA0B71">
        <w:rPr>
          <w:bCs/>
          <w:color w:val="000000" w:themeColor="text1"/>
        </w:rPr>
        <w:t xml:space="preserve">La primera es definir </w:t>
      </w:r>
      <w:r w:rsidR="00CB41B1">
        <w:rPr>
          <w:bCs/>
          <w:color w:val="000000" w:themeColor="text1"/>
        </w:rPr>
        <w:t>con mayor claridad</w:t>
      </w:r>
      <w:r w:rsidR="00DA0B71">
        <w:rPr>
          <w:bCs/>
          <w:color w:val="000000" w:themeColor="text1"/>
        </w:rPr>
        <w:t xml:space="preserve"> el diagn</w:t>
      </w:r>
      <w:r>
        <w:rPr>
          <w:bCs/>
          <w:color w:val="000000" w:themeColor="text1"/>
        </w:rPr>
        <w:t>ó</w:t>
      </w:r>
      <w:r w:rsidR="00DA0B71">
        <w:rPr>
          <w:bCs/>
          <w:color w:val="000000" w:themeColor="text1"/>
        </w:rPr>
        <w:t>stico de L</w:t>
      </w:r>
      <w:r>
        <w:rPr>
          <w:bCs/>
          <w:color w:val="000000" w:themeColor="text1"/>
        </w:rPr>
        <w:t>C</w:t>
      </w:r>
      <w:r w:rsidR="00CB41B1">
        <w:rPr>
          <w:bCs/>
          <w:color w:val="000000" w:themeColor="text1"/>
        </w:rPr>
        <w:t>. Si bien es aceptado que el diagn</w:t>
      </w:r>
      <w:r w:rsidR="00D63866">
        <w:rPr>
          <w:bCs/>
          <w:color w:val="000000" w:themeColor="text1"/>
        </w:rPr>
        <w:t>ó</w:t>
      </w:r>
      <w:r w:rsidR="00CB41B1">
        <w:rPr>
          <w:bCs/>
          <w:color w:val="000000" w:themeColor="text1"/>
        </w:rPr>
        <w:t xml:space="preserve">stico es clínico, basado en la presentación epidemiológica, síntomas, lesión </w:t>
      </w:r>
      <w:r w:rsidR="0005688B">
        <w:rPr>
          <w:bCs/>
          <w:color w:val="000000" w:themeColor="text1"/>
        </w:rPr>
        <w:t xml:space="preserve">cutánea </w:t>
      </w:r>
      <w:r w:rsidR="00CB41B1">
        <w:rPr>
          <w:bCs/>
          <w:color w:val="000000" w:themeColor="text1"/>
        </w:rPr>
        <w:t xml:space="preserve">característica y evolución, falta consenso para tener criterios </w:t>
      </w:r>
      <w:r w:rsidR="00BF04DA">
        <w:rPr>
          <w:bCs/>
          <w:color w:val="000000" w:themeColor="text1"/>
        </w:rPr>
        <w:t>diagnósticos</w:t>
      </w:r>
      <w:r w:rsidR="00CB41B1">
        <w:rPr>
          <w:bCs/>
          <w:color w:val="000000" w:themeColor="text1"/>
        </w:rPr>
        <w:t xml:space="preserve"> que ayuden tanto al reconocimiento</w:t>
      </w:r>
      <w:r w:rsidR="00BF04DA">
        <w:rPr>
          <w:bCs/>
          <w:color w:val="000000" w:themeColor="text1"/>
        </w:rPr>
        <w:t xml:space="preserve"> </w:t>
      </w:r>
      <w:r w:rsidR="00EF1B10">
        <w:rPr>
          <w:bCs/>
          <w:color w:val="000000" w:themeColor="text1"/>
        </w:rPr>
        <w:t xml:space="preserve">como </w:t>
      </w:r>
      <w:r w:rsidR="00CB41B1">
        <w:rPr>
          <w:bCs/>
          <w:color w:val="000000" w:themeColor="text1"/>
        </w:rPr>
        <w:t>a la</w:t>
      </w:r>
      <w:r w:rsidR="00BF04DA">
        <w:rPr>
          <w:bCs/>
          <w:color w:val="000000" w:themeColor="text1"/>
        </w:rPr>
        <w:t xml:space="preserve"> futura</w:t>
      </w:r>
      <w:r w:rsidR="00CB41B1">
        <w:rPr>
          <w:bCs/>
          <w:color w:val="000000" w:themeColor="text1"/>
        </w:rPr>
        <w:t xml:space="preserve"> </w:t>
      </w:r>
      <w:r w:rsidR="00BF04DA">
        <w:rPr>
          <w:bCs/>
          <w:color w:val="000000" w:themeColor="text1"/>
        </w:rPr>
        <w:t>investigación</w:t>
      </w:r>
      <w:r w:rsidR="00CB41B1">
        <w:rPr>
          <w:bCs/>
          <w:color w:val="000000" w:themeColor="text1"/>
        </w:rPr>
        <w:t xml:space="preserve"> de la enfermedad</w:t>
      </w:r>
      <w:r w:rsidR="00DA0B71">
        <w:rPr>
          <w:bCs/>
          <w:color w:val="000000" w:themeColor="text1"/>
        </w:rPr>
        <w:t xml:space="preserve">. </w:t>
      </w:r>
      <w:r w:rsidR="00BF04DA">
        <w:rPr>
          <w:bCs/>
          <w:color w:val="000000" w:themeColor="text1"/>
        </w:rPr>
        <w:t>R</w:t>
      </w:r>
      <w:r w:rsidR="00DA0B71">
        <w:rPr>
          <w:bCs/>
          <w:color w:val="000000" w:themeColor="text1"/>
        </w:rPr>
        <w:t>ecientemente se public</w:t>
      </w:r>
      <w:r>
        <w:rPr>
          <w:bCs/>
          <w:color w:val="000000" w:themeColor="text1"/>
        </w:rPr>
        <w:t>ó</w:t>
      </w:r>
      <w:r w:rsidR="00DA0B71">
        <w:rPr>
          <w:bCs/>
          <w:color w:val="000000" w:themeColor="text1"/>
        </w:rPr>
        <w:t xml:space="preserve"> la mnemotecnia NOT RECLUSE para el descarte del diagn</w:t>
      </w:r>
      <w:r>
        <w:rPr>
          <w:bCs/>
          <w:color w:val="000000" w:themeColor="text1"/>
        </w:rPr>
        <w:t>ó</w:t>
      </w:r>
      <w:r w:rsidR="00DA0B71">
        <w:rPr>
          <w:bCs/>
          <w:color w:val="000000" w:themeColor="text1"/>
        </w:rPr>
        <w:t xml:space="preserve">stico, pero </w:t>
      </w:r>
      <w:r>
        <w:rPr>
          <w:bCs/>
          <w:color w:val="000000" w:themeColor="text1"/>
        </w:rPr>
        <w:t xml:space="preserve">su uso como test diagnóstico </w:t>
      </w:r>
      <w:r w:rsidR="00DA0B71">
        <w:rPr>
          <w:bCs/>
          <w:color w:val="000000" w:themeColor="text1"/>
        </w:rPr>
        <w:t>no ha sido validado</w:t>
      </w:r>
      <w:r w:rsidR="00EF1B10">
        <w:rPr>
          <w:bCs/>
          <w:color w:val="000000" w:themeColor="text1"/>
        </w:rPr>
        <w:t xml:space="preserve"> aún</w:t>
      </w:r>
      <w:r w:rsidR="0068693E">
        <w:rPr>
          <w:bCs/>
          <w:color w:val="000000" w:themeColor="text1"/>
          <w:vertAlign w:val="superscript"/>
        </w:rPr>
        <w:t>8</w:t>
      </w:r>
      <w:r w:rsidR="00EF1B10">
        <w:rPr>
          <w:bCs/>
          <w:color w:val="000000" w:themeColor="text1"/>
        </w:rPr>
        <w:t xml:space="preserve">. </w:t>
      </w:r>
      <w:r w:rsidR="00DA0B71">
        <w:rPr>
          <w:bCs/>
          <w:color w:val="000000" w:themeColor="text1"/>
        </w:rPr>
        <w:t xml:space="preserve"> </w:t>
      </w:r>
      <w:r w:rsidR="00D4708B">
        <w:rPr>
          <w:bCs/>
          <w:color w:val="000000" w:themeColor="text1"/>
        </w:rPr>
        <w:t xml:space="preserve">Tampoco existen criterios diagnósticos establecidos en el LCV. </w:t>
      </w:r>
    </w:p>
    <w:p w14:paraId="47EAA833" w14:textId="77777777" w:rsidR="00C549A9" w:rsidRPr="00A95A1C" w:rsidRDefault="00320521" w:rsidP="009B5F22">
      <w:pPr>
        <w:widowControl w:val="0"/>
        <w:autoSpaceDE w:val="0"/>
        <w:autoSpaceDN w:val="0"/>
        <w:adjustRightInd w:val="0"/>
        <w:spacing w:after="240" w:line="360" w:lineRule="auto"/>
        <w:rPr>
          <w:bCs/>
          <w:color w:val="000000" w:themeColor="text1"/>
          <w:highlight w:val="red"/>
        </w:rPr>
      </w:pPr>
      <w:r>
        <w:rPr>
          <w:bCs/>
          <w:color w:val="000000" w:themeColor="text1"/>
        </w:rPr>
        <w:t xml:space="preserve">Dentro de los exámenes de laboratorio hubo mayor frecuencia de </w:t>
      </w:r>
      <w:r w:rsidR="0074760C">
        <w:rPr>
          <w:bCs/>
          <w:color w:val="000000" w:themeColor="text1"/>
        </w:rPr>
        <w:t xml:space="preserve">leucocitosis, </w:t>
      </w:r>
      <w:r>
        <w:rPr>
          <w:bCs/>
          <w:color w:val="000000" w:themeColor="text1"/>
        </w:rPr>
        <w:t>leucopenia, trombocitopenia, trombocitosis, elevación de la PCR, elevación de la</w:t>
      </w:r>
      <w:r w:rsidR="0074760C">
        <w:rPr>
          <w:bCs/>
          <w:color w:val="000000" w:themeColor="text1"/>
        </w:rPr>
        <w:t xml:space="preserve"> </w:t>
      </w:r>
      <w:r>
        <w:rPr>
          <w:bCs/>
          <w:color w:val="000000" w:themeColor="text1"/>
        </w:rPr>
        <w:t xml:space="preserve">GPT, </w:t>
      </w:r>
      <w:r w:rsidR="0074760C">
        <w:rPr>
          <w:bCs/>
          <w:color w:val="000000" w:themeColor="text1"/>
        </w:rPr>
        <w:t xml:space="preserve">disminución en el TP y TTPA, </w:t>
      </w:r>
      <w:r w:rsidRPr="00A95A1C">
        <w:rPr>
          <w:bCs/>
          <w:color w:val="000000" w:themeColor="text1"/>
        </w:rPr>
        <w:t xml:space="preserve">elevación del BUN </w:t>
      </w:r>
      <w:r w:rsidR="0074760C" w:rsidRPr="00A95A1C">
        <w:rPr>
          <w:bCs/>
          <w:color w:val="000000" w:themeColor="text1"/>
        </w:rPr>
        <w:t xml:space="preserve">y creatinina plasmática, </w:t>
      </w:r>
      <w:r w:rsidRPr="00A95A1C">
        <w:rPr>
          <w:bCs/>
          <w:color w:val="000000" w:themeColor="text1"/>
        </w:rPr>
        <w:t xml:space="preserve">y presencia de hematuria en los pacientes con LCV respecto a los pacientes con LC. </w:t>
      </w:r>
      <w:r w:rsidR="001E772B" w:rsidRPr="00A95A1C">
        <w:rPr>
          <w:bCs/>
          <w:color w:val="000000" w:themeColor="text1"/>
        </w:rPr>
        <w:t>Por otro lado, encontramos que el 72,7% de los pacientes con LCV tuvo síntomas sistémicos (valor p</w:t>
      </w:r>
      <w:r w:rsidR="001E772B" w:rsidRPr="00A95A1C">
        <w:t>&lt;0,001</w:t>
      </w:r>
      <w:r w:rsidR="001E772B" w:rsidRPr="00A95A1C">
        <w:rPr>
          <w:bCs/>
          <w:color w:val="000000" w:themeColor="text1"/>
        </w:rPr>
        <w:t xml:space="preserve">). </w:t>
      </w:r>
      <w:r w:rsidRPr="00A95A1C">
        <w:rPr>
          <w:bCs/>
          <w:color w:val="000000" w:themeColor="text1"/>
        </w:rPr>
        <w:t>Esto nos hace concluir dos cosas: faltan criterios diagnósticos para predecir/establecer el diagnóstico de LCV</w:t>
      </w:r>
      <w:r w:rsidR="0074760C" w:rsidRPr="00A95A1C">
        <w:rPr>
          <w:bCs/>
          <w:color w:val="000000" w:themeColor="text1"/>
        </w:rPr>
        <w:t xml:space="preserve"> y</w:t>
      </w:r>
      <w:r w:rsidR="00C549A9" w:rsidRPr="00A95A1C">
        <w:rPr>
          <w:bCs/>
          <w:color w:val="000000" w:themeColor="text1"/>
        </w:rPr>
        <w:t xml:space="preserve"> </w:t>
      </w:r>
      <w:r w:rsidR="0074760C" w:rsidRPr="00A95A1C">
        <w:rPr>
          <w:bCs/>
          <w:color w:val="000000" w:themeColor="text1"/>
        </w:rPr>
        <w:t>e</w:t>
      </w:r>
      <w:r w:rsidRPr="00A95A1C">
        <w:rPr>
          <w:bCs/>
          <w:color w:val="000000" w:themeColor="text1"/>
        </w:rPr>
        <w:t xml:space="preserve">stos criterios podrían basarse en la presencia de síntomas sistémicos y hallazgos de </w:t>
      </w:r>
      <w:r w:rsidRPr="00A95A1C">
        <w:rPr>
          <w:bCs/>
          <w:color w:val="000000" w:themeColor="text1"/>
        </w:rPr>
        <w:lastRenderedPageBreak/>
        <w:t>laboratorio, buscando la presencia de inflamación</w:t>
      </w:r>
      <w:r w:rsidR="001E772B" w:rsidRPr="00A95A1C">
        <w:rPr>
          <w:bCs/>
          <w:color w:val="000000" w:themeColor="text1"/>
        </w:rPr>
        <w:t xml:space="preserve">, </w:t>
      </w:r>
      <w:r w:rsidRPr="00A95A1C">
        <w:rPr>
          <w:bCs/>
          <w:color w:val="000000" w:themeColor="text1"/>
        </w:rPr>
        <w:t xml:space="preserve">signos indirectos de hemólisis </w:t>
      </w:r>
      <w:r w:rsidR="001E772B" w:rsidRPr="00A95A1C">
        <w:rPr>
          <w:bCs/>
          <w:color w:val="000000" w:themeColor="text1"/>
        </w:rPr>
        <w:t xml:space="preserve">y de falla renal aguda. </w:t>
      </w:r>
      <w:r w:rsidRPr="00A95A1C">
        <w:rPr>
          <w:bCs/>
          <w:color w:val="000000" w:themeColor="text1"/>
        </w:rPr>
        <w:t xml:space="preserve"> </w:t>
      </w:r>
      <w:r w:rsidR="00A95A1C" w:rsidRPr="00A95A1C">
        <w:rPr>
          <w:bCs/>
          <w:color w:val="000000" w:themeColor="text1"/>
        </w:rPr>
        <w:t xml:space="preserve">La presencia de síntomas sistémicos asociados </w:t>
      </w:r>
      <w:r w:rsidR="00BF04DA" w:rsidRPr="00A95A1C">
        <w:rPr>
          <w:bCs/>
          <w:color w:val="000000" w:themeColor="text1"/>
        </w:rPr>
        <w:t>es un dato relevante para identificar a los pacientes m</w:t>
      </w:r>
      <w:r w:rsidR="00EF1B10" w:rsidRPr="00A95A1C">
        <w:rPr>
          <w:bCs/>
          <w:color w:val="000000" w:themeColor="text1"/>
        </w:rPr>
        <w:t>á</w:t>
      </w:r>
      <w:r w:rsidR="00BF04DA" w:rsidRPr="00A95A1C">
        <w:rPr>
          <w:bCs/>
          <w:color w:val="000000" w:themeColor="text1"/>
        </w:rPr>
        <w:t>s graves.</w:t>
      </w:r>
      <w:r w:rsidR="00815335" w:rsidRPr="00A95A1C">
        <w:rPr>
          <w:bCs/>
          <w:color w:val="000000" w:themeColor="text1"/>
        </w:rPr>
        <w:t xml:space="preserve"> L</w:t>
      </w:r>
      <w:r w:rsidR="00DA0B71" w:rsidRPr="00A95A1C">
        <w:rPr>
          <w:bCs/>
          <w:color w:val="000000" w:themeColor="text1"/>
        </w:rPr>
        <w:t xml:space="preserve">as guías </w:t>
      </w:r>
      <w:r w:rsidR="00BF04DA" w:rsidRPr="00A95A1C">
        <w:rPr>
          <w:bCs/>
          <w:color w:val="000000" w:themeColor="text1"/>
        </w:rPr>
        <w:t xml:space="preserve">MINSAL </w:t>
      </w:r>
      <w:r w:rsidR="00DA0B71" w:rsidRPr="00A95A1C">
        <w:rPr>
          <w:bCs/>
          <w:color w:val="000000" w:themeColor="text1"/>
        </w:rPr>
        <w:t xml:space="preserve">actuales </w:t>
      </w:r>
      <w:r w:rsidR="00EF1B10" w:rsidRPr="00A95A1C">
        <w:rPr>
          <w:bCs/>
          <w:color w:val="000000" w:themeColor="text1"/>
        </w:rPr>
        <w:t>só</w:t>
      </w:r>
      <w:r w:rsidR="00BF04DA" w:rsidRPr="00A95A1C">
        <w:rPr>
          <w:bCs/>
          <w:color w:val="000000" w:themeColor="text1"/>
        </w:rPr>
        <w:t>lo nombran los síntomas sistémicos y</w:t>
      </w:r>
      <w:r w:rsidR="00DA0B71" w:rsidRPr="00A95A1C">
        <w:rPr>
          <w:bCs/>
          <w:color w:val="000000" w:themeColor="text1"/>
        </w:rPr>
        <w:t xml:space="preserve"> recom</w:t>
      </w:r>
      <w:r w:rsidR="00815335" w:rsidRPr="00A95A1C">
        <w:rPr>
          <w:bCs/>
          <w:color w:val="000000" w:themeColor="text1"/>
        </w:rPr>
        <w:t xml:space="preserve">iendan hospitalizar en </w:t>
      </w:r>
      <w:r w:rsidR="00EF1B10" w:rsidRPr="00A95A1C">
        <w:rPr>
          <w:bCs/>
          <w:color w:val="000000" w:themeColor="text1"/>
        </w:rPr>
        <w:t xml:space="preserve">una unidad de tratamiento intensivo </w:t>
      </w:r>
      <w:r w:rsidR="00815335" w:rsidRPr="00A95A1C">
        <w:rPr>
          <w:bCs/>
          <w:color w:val="000000" w:themeColor="text1"/>
        </w:rPr>
        <w:t>a todo paciente co</w:t>
      </w:r>
      <w:r w:rsidR="00227E97" w:rsidRPr="00A95A1C">
        <w:rPr>
          <w:bCs/>
          <w:color w:val="000000" w:themeColor="text1"/>
        </w:rPr>
        <w:t>n hemoglobinuria,</w:t>
      </w:r>
      <w:r w:rsidR="00815335" w:rsidRPr="00A95A1C">
        <w:rPr>
          <w:bCs/>
          <w:color w:val="000000" w:themeColor="text1"/>
        </w:rPr>
        <w:t xml:space="preserve"> </w:t>
      </w:r>
      <w:r w:rsidR="00EF1B10" w:rsidRPr="00A95A1C">
        <w:rPr>
          <w:bCs/>
          <w:color w:val="000000" w:themeColor="text1"/>
        </w:rPr>
        <w:t>dándole un alto valor al examen de orina</w:t>
      </w:r>
      <w:r w:rsidR="00FF113E" w:rsidRPr="00A95A1C">
        <w:rPr>
          <w:bCs/>
          <w:color w:val="000000" w:themeColor="text1"/>
          <w:vertAlign w:val="superscript"/>
        </w:rPr>
        <w:t>2</w:t>
      </w:r>
      <w:r w:rsidR="002A7CDF">
        <w:rPr>
          <w:bCs/>
          <w:color w:val="000000" w:themeColor="text1"/>
          <w:vertAlign w:val="superscript"/>
        </w:rPr>
        <w:t>2</w:t>
      </w:r>
      <w:r w:rsidR="00C549A9" w:rsidRPr="00A95A1C">
        <w:rPr>
          <w:bCs/>
          <w:color w:val="000000" w:themeColor="text1"/>
        </w:rPr>
        <w:t>.</w:t>
      </w:r>
    </w:p>
    <w:p w14:paraId="104378CF" w14:textId="77777777" w:rsidR="006C17E8" w:rsidRDefault="006C17E8" w:rsidP="009B5F22">
      <w:pPr>
        <w:widowControl w:val="0"/>
        <w:autoSpaceDE w:val="0"/>
        <w:autoSpaceDN w:val="0"/>
        <w:adjustRightInd w:val="0"/>
        <w:spacing w:after="240" w:line="360" w:lineRule="auto"/>
        <w:rPr>
          <w:bCs/>
          <w:color w:val="000000" w:themeColor="text1"/>
        </w:rPr>
      </w:pPr>
      <w:r>
        <w:rPr>
          <w:bCs/>
          <w:color w:val="000000" w:themeColor="text1"/>
        </w:rPr>
        <w:t xml:space="preserve">Los pacientes que presentaron hematuria tuvieron </w:t>
      </w:r>
      <w:r w:rsidR="00A95A1C">
        <w:rPr>
          <w:bCs/>
          <w:color w:val="000000" w:themeColor="text1"/>
        </w:rPr>
        <w:t xml:space="preserve">4,9 </w:t>
      </w:r>
      <w:r>
        <w:rPr>
          <w:bCs/>
          <w:color w:val="000000" w:themeColor="text1"/>
        </w:rPr>
        <w:t xml:space="preserve">veces </w:t>
      </w:r>
      <w:r w:rsidR="00A95A1C">
        <w:rPr>
          <w:bCs/>
          <w:color w:val="000000" w:themeColor="text1"/>
        </w:rPr>
        <w:t>más riesgo</w:t>
      </w:r>
      <w:r>
        <w:rPr>
          <w:bCs/>
          <w:color w:val="000000" w:themeColor="text1"/>
        </w:rPr>
        <w:t xml:space="preserve"> de presentar LCV</w:t>
      </w:r>
      <w:r w:rsidR="00A95A1C">
        <w:rPr>
          <w:bCs/>
          <w:color w:val="000000" w:themeColor="text1"/>
        </w:rPr>
        <w:t xml:space="preserve"> en comparación con los pacientes que no tuvieron hematuria</w:t>
      </w:r>
      <w:r w:rsidR="003B5998">
        <w:rPr>
          <w:bCs/>
          <w:color w:val="000000" w:themeColor="text1"/>
        </w:rPr>
        <w:t xml:space="preserve">, y los pacientes con síntomas sistémicos tuvieron 18,7 veces más riesgo de presentar LCV en comparación con los pacientes sin síntomas sistémicos. </w:t>
      </w:r>
      <w:r>
        <w:rPr>
          <w:bCs/>
          <w:color w:val="000000" w:themeColor="text1"/>
        </w:rPr>
        <w:t>Sin embargo, no todos los pacientes con hematuria evolucionaron a un LCV</w:t>
      </w:r>
      <w:r w:rsidR="003B5998">
        <w:rPr>
          <w:bCs/>
          <w:color w:val="000000" w:themeColor="text1"/>
        </w:rPr>
        <w:t xml:space="preserve"> (un 32,5% de los LC tuvo hematuria)</w:t>
      </w:r>
      <w:r>
        <w:rPr>
          <w:bCs/>
          <w:color w:val="000000" w:themeColor="text1"/>
        </w:rPr>
        <w:t>.</w:t>
      </w:r>
      <w:r w:rsidR="003B5998">
        <w:rPr>
          <w:bCs/>
          <w:color w:val="000000" w:themeColor="text1"/>
        </w:rPr>
        <w:t xml:space="preserve"> </w:t>
      </w:r>
      <w:r w:rsidR="00A87E44">
        <w:rPr>
          <w:bCs/>
          <w:color w:val="000000" w:themeColor="text1"/>
        </w:rPr>
        <w:t>Un 27,3% de los</w:t>
      </w:r>
      <w:r>
        <w:rPr>
          <w:bCs/>
          <w:color w:val="000000" w:themeColor="text1"/>
        </w:rPr>
        <w:t xml:space="preserve"> pacientes hospitalizados con LCV nunca present</w:t>
      </w:r>
      <w:r w:rsidR="00F94C31">
        <w:rPr>
          <w:bCs/>
          <w:color w:val="000000" w:themeColor="text1"/>
        </w:rPr>
        <w:t>ó</w:t>
      </w:r>
      <w:r>
        <w:rPr>
          <w:bCs/>
          <w:color w:val="000000" w:themeColor="text1"/>
        </w:rPr>
        <w:t xml:space="preserve"> hematuria y sí otras alteraciones de laboratorio indicadoras de hemólisis</w:t>
      </w:r>
      <w:r w:rsidR="00114FD5">
        <w:rPr>
          <w:bCs/>
          <w:color w:val="000000" w:themeColor="text1"/>
        </w:rPr>
        <w:t>, inflamación y falla renal aguda</w:t>
      </w:r>
      <w:r>
        <w:rPr>
          <w:bCs/>
          <w:color w:val="000000" w:themeColor="text1"/>
        </w:rPr>
        <w:t xml:space="preserve">. </w:t>
      </w:r>
      <w:r w:rsidR="003B5998">
        <w:rPr>
          <w:bCs/>
          <w:color w:val="000000" w:themeColor="text1"/>
        </w:rPr>
        <w:t>Por lo tanto, p</w:t>
      </w:r>
      <w:r>
        <w:rPr>
          <w:bCs/>
          <w:color w:val="000000" w:themeColor="text1"/>
        </w:rPr>
        <w:t xml:space="preserve">roponemos que para reconocer a un paciente con LCV, inicialmente se deberían buscar síntomas sistémicos como fiebre, </w:t>
      </w:r>
      <w:r w:rsidR="003B5998">
        <w:rPr>
          <w:bCs/>
          <w:color w:val="000000" w:themeColor="text1"/>
        </w:rPr>
        <w:t xml:space="preserve">ictericia, </w:t>
      </w:r>
      <w:r>
        <w:rPr>
          <w:bCs/>
          <w:color w:val="000000" w:themeColor="text1"/>
        </w:rPr>
        <w:t>dolor abdominal, vómitos</w:t>
      </w:r>
      <w:r w:rsidR="003B5998">
        <w:rPr>
          <w:bCs/>
          <w:color w:val="000000" w:themeColor="text1"/>
        </w:rPr>
        <w:t>, coluria</w:t>
      </w:r>
      <w:r>
        <w:rPr>
          <w:bCs/>
          <w:color w:val="000000" w:themeColor="text1"/>
        </w:rPr>
        <w:t>. Luego, en los exámenes de laboratorio, se deberían buscar signos de hemólisis</w:t>
      </w:r>
      <w:r w:rsidR="003B5998">
        <w:rPr>
          <w:bCs/>
          <w:color w:val="000000" w:themeColor="text1"/>
        </w:rPr>
        <w:t xml:space="preserve">, </w:t>
      </w:r>
      <w:r>
        <w:rPr>
          <w:bCs/>
          <w:color w:val="000000" w:themeColor="text1"/>
        </w:rPr>
        <w:t xml:space="preserve">falla renal </w:t>
      </w:r>
      <w:r w:rsidR="003B5998">
        <w:rPr>
          <w:bCs/>
          <w:color w:val="000000" w:themeColor="text1"/>
        </w:rPr>
        <w:t>aguda, inflamación y hematuria</w:t>
      </w:r>
      <w:r>
        <w:rPr>
          <w:bCs/>
          <w:color w:val="000000" w:themeColor="text1"/>
        </w:rPr>
        <w:t xml:space="preserve">. </w:t>
      </w:r>
      <w:r w:rsidR="00A87E44">
        <w:rPr>
          <w:bCs/>
          <w:color w:val="000000" w:themeColor="text1"/>
        </w:rPr>
        <w:t xml:space="preserve">Sugerimos, que un paciente con síntomas sistémicos y sin hematuria debería ser vigilado porque la ausencia de hematuria no descarta la evolución a un LCV. </w:t>
      </w:r>
      <w:r w:rsidR="0075258A">
        <w:rPr>
          <w:bCs/>
          <w:color w:val="000000" w:themeColor="text1"/>
        </w:rPr>
        <w:t xml:space="preserve">Por otro lado, si consideramos que un 32,5% de los pacientes con LC tuvo hematuria, es difícil considerarla como único factor en la decisión de hospitalización en una unidad de alta complejidad en el contexto de un loxoscelismo. Estas incógnitas pueden complejizar las decisiones terapéuticas para los médicos de urgencia y antención primaria. </w:t>
      </w:r>
      <w:r w:rsidR="0035048B">
        <w:rPr>
          <w:bCs/>
          <w:color w:val="000000" w:themeColor="text1"/>
        </w:rPr>
        <w:t>Estudios prospectivos podría</w:t>
      </w:r>
      <w:r w:rsidR="0075258A">
        <w:rPr>
          <w:bCs/>
          <w:color w:val="000000" w:themeColor="text1"/>
        </w:rPr>
        <w:t xml:space="preserve">n permitir </w:t>
      </w:r>
      <w:r w:rsidR="0035048B">
        <w:rPr>
          <w:bCs/>
          <w:color w:val="000000" w:themeColor="text1"/>
        </w:rPr>
        <w:t xml:space="preserve"> e</w:t>
      </w:r>
      <w:r w:rsidR="00896CAB">
        <w:rPr>
          <w:bCs/>
          <w:color w:val="000000" w:themeColor="text1"/>
        </w:rPr>
        <w:t xml:space="preserve">valuar </w:t>
      </w:r>
      <w:r w:rsidR="0035048B">
        <w:rPr>
          <w:bCs/>
          <w:color w:val="000000" w:themeColor="text1"/>
        </w:rPr>
        <w:t xml:space="preserve">cuál de estas variables logra predecir mejor la evolución a un LCV. </w:t>
      </w:r>
    </w:p>
    <w:p w14:paraId="077E4D3B" w14:textId="77777777" w:rsidR="0042089B" w:rsidRDefault="008B703C" w:rsidP="009B5F22">
      <w:pPr>
        <w:widowControl w:val="0"/>
        <w:autoSpaceDE w:val="0"/>
        <w:autoSpaceDN w:val="0"/>
        <w:adjustRightInd w:val="0"/>
        <w:spacing w:after="240" w:line="360" w:lineRule="auto"/>
        <w:rPr>
          <w:bCs/>
          <w:color w:val="000000" w:themeColor="text1"/>
        </w:rPr>
      </w:pPr>
      <w:r>
        <w:rPr>
          <w:bCs/>
          <w:color w:val="000000" w:themeColor="text1"/>
        </w:rPr>
        <w:t>Con respecto al tratamiento, encontramos que la analgesia fue requerida en un 74%</w:t>
      </w:r>
      <w:r w:rsidR="009D5211">
        <w:rPr>
          <w:bCs/>
          <w:color w:val="000000" w:themeColor="text1"/>
        </w:rPr>
        <w:t xml:space="preserve"> de los pacientes</w:t>
      </w:r>
      <w:r w:rsidR="004D3FD8">
        <w:rPr>
          <w:bCs/>
          <w:color w:val="000000" w:themeColor="text1"/>
        </w:rPr>
        <w:t>.</w:t>
      </w:r>
      <w:r>
        <w:rPr>
          <w:bCs/>
          <w:color w:val="000000" w:themeColor="text1"/>
        </w:rPr>
        <w:t xml:space="preserve"> </w:t>
      </w:r>
      <w:r w:rsidR="004D3FD8">
        <w:rPr>
          <w:bCs/>
          <w:color w:val="000000" w:themeColor="text1"/>
        </w:rPr>
        <w:t>H</w:t>
      </w:r>
      <w:r>
        <w:rPr>
          <w:bCs/>
          <w:color w:val="000000" w:themeColor="text1"/>
        </w:rPr>
        <w:t>abitualmente no se discute en las guías clínicas</w:t>
      </w:r>
      <w:r w:rsidR="004D3FD8">
        <w:rPr>
          <w:bCs/>
          <w:color w:val="000000" w:themeColor="text1"/>
        </w:rPr>
        <w:t xml:space="preserve"> y es de suma relevancia el manejo del dolor en estos pacientes</w:t>
      </w:r>
      <w:r>
        <w:rPr>
          <w:bCs/>
          <w:color w:val="000000" w:themeColor="text1"/>
        </w:rPr>
        <w:t>. Los corticoides</w:t>
      </w:r>
      <w:r w:rsidR="004D3FD8">
        <w:rPr>
          <w:bCs/>
          <w:color w:val="000000" w:themeColor="text1"/>
        </w:rPr>
        <w:t xml:space="preserve"> y antibi</w:t>
      </w:r>
      <w:r w:rsidR="009D5211">
        <w:rPr>
          <w:bCs/>
          <w:color w:val="000000" w:themeColor="text1"/>
        </w:rPr>
        <w:t>ó</w:t>
      </w:r>
      <w:r w:rsidR="004D3FD8">
        <w:rPr>
          <w:bCs/>
          <w:color w:val="000000" w:themeColor="text1"/>
        </w:rPr>
        <w:t>ticos</w:t>
      </w:r>
      <w:r>
        <w:rPr>
          <w:bCs/>
          <w:color w:val="000000" w:themeColor="text1"/>
        </w:rPr>
        <w:t xml:space="preserve"> fueron ampliamente indicados en pacientes con LCV. En ningún paciente</w:t>
      </w:r>
      <w:r w:rsidR="00BF67A6">
        <w:rPr>
          <w:bCs/>
          <w:color w:val="000000" w:themeColor="text1"/>
        </w:rPr>
        <w:t xml:space="preserve"> se us</w:t>
      </w:r>
      <w:r w:rsidR="009D5211">
        <w:rPr>
          <w:bCs/>
          <w:color w:val="000000" w:themeColor="text1"/>
        </w:rPr>
        <w:t>ó</w:t>
      </w:r>
      <w:r w:rsidR="00BF67A6">
        <w:rPr>
          <w:bCs/>
          <w:color w:val="000000" w:themeColor="text1"/>
        </w:rPr>
        <w:t xml:space="preserve"> </w:t>
      </w:r>
      <w:r>
        <w:rPr>
          <w:bCs/>
          <w:color w:val="000000" w:themeColor="text1"/>
        </w:rPr>
        <w:t>el suero anti</w:t>
      </w:r>
      <w:r w:rsidR="00BF67A6">
        <w:rPr>
          <w:bCs/>
          <w:color w:val="000000" w:themeColor="text1"/>
        </w:rPr>
        <w:t>-</w:t>
      </w:r>
      <w:r>
        <w:rPr>
          <w:bCs/>
          <w:color w:val="000000" w:themeColor="text1"/>
        </w:rPr>
        <w:t xml:space="preserve">loxosceles. </w:t>
      </w:r>
      <w:r w:rsidR="004D3FD8">
        <w:rPr>
          <w:bCs/>
          <w:color w:val="000000" w:themeColor="text1"/>
        </w:rPr>
        <w:t>Ya en</w:t>
      </w:r>
      <w:r w:rsidR="009D5211">
        <w:rPr>
          <w:bCs/>
          <w:color w:val="000000" w:themeColor="text1"/>
        </w:rPr>
        <w:t xml:space="preserve"> el año</w:t>
      </w:r>
      <w:r w:rsidR="004D3FD8">
        <w:rPr>
          <w:bCs/>
          <w:color w:val="000000" w:themeColor="text1"/>
        </w:rPr>
        <w:t xml:space="preserve"> 1988</w:t>
      </w:r>
      <w:r w:rsidR="009D5211">
        <w:rPr>
          <w:bCs/>
          <w:color w:val="000000" w:themeColor="text1"/>
        </w:rPr>
        <w:t>,</w:t>
      </w:r>
      <w:r w:rsidR="004D3FD8">
        <w:rPr>
          <w:bCs/>
          <w:color w:val="000000" w:themeColor="text1"/>
        </w:rPr>
        <w:t xml:space="preserve"> Schenone et al. desincentivaban su uso por futilidad. Los pacientes </w:t>
      </w:r>
      <w:r w:rsidR="00C549A9">
        <w:rPr>
          <w:bCs/>
          <w:color w:val="000000" w:themeColor="text1"/>
        </w:rPr>
        <w:t xml:space="preserve">generalmente </w:t>
      </w:r>
      <w:r w:rsidR="004D3FD8">
        <w:rPr>
          <w:bCs/>
          <w:color w:val="000000" w:themeColor="text1"/>
        </w:rPr>
        <w:t>consultan fuera de la ventana terapéutica</w:t>
      </w:r>
      <w:r w:rsidR="009D5211">
        <w:rPr>
          <w:bCs/>
          <w:color w:val="000000" w:themeColor="text1"/>
        </w:rPr>
        <w:t xml:space="preserve"> para el uso de suero antiloxosceles, y</w:t>
      </w:r>
      <w:r w:rsidR="004D3FD8">
        <w:rPr>
          <w:bCs/>
          <w:color w:val="000000" w:themeColor="text1"/>
        </w:rPr>
        <w:t xml:space="preserve"> en las guías MINSAL del </w:t>
      </w:r>
      <w:r w:rsidR="009D5211">
        <w:rPr>
          <w:bCs/>
          <w:color w:val="000000" w:themeColor="text1"/>
        </w:rPr>
        <w:t xml:space="preserve">año </w:t>
      </w:r>
      <w:r w:rsidR="004D3FD8">
        <w:rPr>
          <w:bCs/>
          <w:color w:val="000000" w:themeColor="text1"/>
        </w:rPr>
        <w:t xml:space="preserve">2016 </w:t>
      </w:r>
      <w:r w:rsidR="00C549A9">
        <w:rPr>
          <w:bCs/>
          <w:color w:val="000000" w:themeColor="text1"/>
        </w:rPr>
        <w:t xml:space="preserve">ya </w:t>
      </w:r>
      <w:r w:rsidR="003B3C09">
        <w:rPr>
          <w:bCs/>
          <w:color w:val="000000" w:themeColor="text1"/>
        </w:rPr>
        <w:t xml:space="preserve">no </w:t>
      </w:r>
      <w:r w:rsidR="004D3FD8">
        <w:rPr>
          <w:bCs/>
          <w:color w:val="000000" w:themeColor="text1"/>
        </w:rPr>
        <w:t>se</w:t>
      </w:r>
      <w:r w:rsidR="003B3C09">
        <w:rPr>
          <w:bCs/>
          <w:color w:val="000000" w:themeColor="text1"/>
        </w:rPr>
        <w:t xml:space="preserve"> recomienda su uso</w:t>
      </w:r>
      <w:r w:rsidR="00FF113E">
        <w:rPr>
          <w:bCs/>
          <w:color w:val="000000" w:themeColor="text1"/>
          <w:vertAlign w:val="superscript"/>
        </w:rPr>
        <w:t>2</w:t>
      </w:r>
      <w:r w:rsidR="002A7CDF">
        <w:rPr>
          <w:bCs/>
          <w:color w:val="000000" w:themeColor="text1"/>
          <w:vertAlign w:val="superscript"/>
        </w:rPr>
        <w:t>2</w:t>
      </w:r>
      <w:r w:rsidR="004D3FD8">
        <w:rPr>
          <w:bCs/>
          <w:color w:val="000000" w:themeColor="text1"/>
        </w:rPr>
        <w:t>.</w:t>
      </w:r>
      <w:r w:rsidR="00BF67A6">
        <w:rPr>
          <w:bCs/>
          <w:color w:val="000000" w:themeColor="text1"/>
        </w:rPr>
        <w:t xml:space="preserve"> </w:t>
      </w:r>
    </w:p>
    <w:p w14:paraId="13659479" w14:textId="77777777" w:rsidR="006C17E8" w:rsidRDefault="006C17E8" w:rsidP="009B5F22">
      <w:pPr>
        <w:widowControl w:val="0"/>
        <w:autoSpaceDE w:val="0"/>
        <w:autoSpaceDN w:val="0"/>
        <w:adjustRightInd w:val="0"/>
        <w:spacing w:after="240" w:line="360" w:lineRule="auto"/>
        <w:rPr>
          <w:bCs/>
          <w:color w:val="000000" w:themeColor="text1"/>
        </w:rPr>
      </w:pPr>
      <w:r>
        <w:rPr>
          <w:bCs/>
          <w:color w:val="000000" w:themeColor="text1"/>
        </w:rPr>
        <w:lastRenderedPageBreak/>
        <w:t>Encontramos un</w:t>
      </w:r>
      <w:r w:rsidR="00547535">
        <w:rPr>
          <w:bCs/>
          <w:color w:val="000000" w:themeColor="text1"/>
        </w:rPr>
        <w:t xml:space="preserve"> 63,6</w:t>
      </w:r>
      <w:r>
        <w:rPr>
          <w:bCs/>
          <w:color w:val="000000" w:themeColor="text1"/>
        </w:rPr>
        <w:t xml:space="preserve">% de desarrollo de celulitis asociada en el LCV, lo que apoyaría el uso precoz de antibióticos en pacientes que se van a hospitalizar. </w:t>
      </w:r>
    </w:p>
    <w:p w14:paraId="3AFD96BC" w14:textId="77777777" w:rsidR="009B5F22" w:rsidRDefault="009B5F22" w:rsidP="009B5F22">
      <w:pPr>
        <w:widowControl w:val="0"/>
        <w:autoSpaceDE w:val="0"/>
        <w:autoSpaceDN w:val="0"/>
        <w:adjustRightInd w:val="0"/>
        <w:spacing w:after="240" w:line="360" w:lineRule="auto"/>
        <w:rPr>
          <w:bCs/>
          <w:color w:val="000000" w:themeColor="text1"/>
        </w:rPr>
      </w:pPr>
      <w:r>
        <w:rPr>
          <w:bCs/>
          <w:color w:val="000000" w:themeColor="text1"/>
        </w:rPr>
        <w:t xml:space="preserve">Como este estudio es retrospectivo, no nos permite cambiar conductas en el manejo ni definición de un loxoscelismo, pero al caracterizar las variables estudiadas, permite identificar los principales problemas que se debieran tener en cuenta al enfrentarse a un caso de losxoscelismo.  </w:t>
      </w:r>
    </w:p>
    <w:p w14:paraId="2D8C8DA7" w14:textId="77777777" w:rsidR="00513D26" w:rsidRPr="00A35125" w:rsidRDefault="00B66FDA" w:rsidP="00A35125">
      <w:pPr>
        <w:widowControl w:val="0"/>
        <w:autoSpaceDE w:val="0"/>
        <w:autoSpaceDN w:val="0"/>
        <w:adjustRightInd w:val="0"/>
        <w:spacing w:after="240" w:line="360" w:lineRule="auto"/>
        <w:rPr>
          <w:bCs/>
          <w:color w:val="000000" w:themeColor="text1"/>
        </w:rPr>
      </w:pPr>
      <w:r>
        <w:rPr>
          <w:bCs/>
          <w:color w:val="000000" w:themeColor="text1"/>
        </w:rPr>
        <w:t xml:space="preserve">A pesar de que el loxoscelismo es un problema importante de salud en nuestro país, aún quedan muchas interrogantes por responder, principalmente en el diagnóstico y tratamiento de la enfermedad. </w:t>
      </w:r>
      <w:r w:rsidR="00C30601">
        <w:rPr>
          <w:bCs/>
          <w:color w:val="000000" w:themeColor="text1"/>
        </w:rPr>
        <w:t xml:space="preserve">Se requieren estudios futuros que validen criterios diagnósticos </w:t>
      </w:r>
      <w:r>
        <w:rPr>
          <w:bCs/>
          <w:color w:val="000000" w:themeColor="text1"/>
        </w:rPr>
        <w:t xml:space="preserve">para </w:t>
      </w:r>
      <w:r w:rsidR="00C30601">
        <w:rPr>
          <w:bCs/>
          <w:color w:val="000000" w:themeColor="text1"/>
        </w:rPr>
        <w:t>LC y LCV</w:t>
      </w:r>
      <w:r w:rsidR="00547535">
        <w:rPr>
          <w:bCs/>
          <w:color w:val="000000" w:themeColor="text1"/>
        </w:rPr>
        <w:t xml:space="preserve">, estudios que evalúen cuáles son las mejores variables para predecir un LCV, y estudios que evalúen </w:t>
      </w:r>
      <w:r>
        <w:rPr>
          <w:bCs/>
          <w:color w:val="000000" w:themeColor="text1"/>
        </w:rPr>
        <w:t xml:space="preserve">la respuesta a tratamientos en pacientes con LC y LCV. </w:t>
      </w:r>
    </w:p>
    <w:p w14:paraId="042313F7" w14:textId="77777777" w:rsidR="009B5F22" w:rsidRDefault="009B5F22" w:rsidP="009B5F22">
      <w:pPr>
        <w:widowControl w:val="0"/>
        <w:autoSpaceDE w:val="0"/>
        <w:autoSpaceDN w:val="0"/>
        <w:adjustRightInd w:val="0"/>
        <w:spacing w:after="240" w:line="360" w:lineRule="auto"/>
        <w:outlineLvl w:val="0"/>
        <w:rPr>
          <w:b/>
        </w:rPr>
      </w:pPr>
    </w:p>
    <w:p w14:paraId="50C1AB78" w14:textId="77777777" w:rsidR="00B22E59" w:rsidRDefault="00B22E59" w:rsidP="009B5F22">
      <w:pPr>
        <w:widowControl w:val="0"/>
        <w:autoSpaceDE w:val="0"/>
        <w:autoSpaceDN w:val="0"/>
        <w:adjustRightInd w:val="0"/>
        <w:spacing w:after="240" w:line="360" w:lineRule="auto"/>
        <w:outlineLvl w:val="0"/>
        <w:rPr>
          <w:b/>
        </w:rPr>
      </w:pPr>
      <w:r w:rsidRPr="00B22E59">
        <w:rPr>
          <w:b/>
        </w:rPr>
        <w:t xml:space="preserve">Referencias: </w:t>
      </w:r>
    </w:p>
    <w:p w14:paraId="30DBF209" w14:textId="77777777" w:rsidR="006F32DD" w:rsidRDefault="00291B21" w:rsidP="009B5F22">
      <w:pPr>
        <w:widowControl w:val="0"/>
        <w:autoSpaceDE w:val="0"/>
        <w:autoSpaceDN w:val="0"/>
        <w:adjustRightInd w:val="0"/>
        <w:snapToGrid w:val="0"/>
        <w:spacing w:line="360" w:lineRule="auto"/>
        <w:contextualSpacing/>
      </w:pPr>
      <w:r w:rsidRPr="00291B21">
        <w:fldChar w:fldCharType="begin"/>
      </w:r>
      <w:r w:rsidRPr="000E7A1D">
        <w:instrText xml:space="preserve"> ADDIN ZOTERO_BIBL {"custom":[]} CSL_BIBLIOGRAPHY </w:instrText>
      </w:r>
      <w:r w:rsidRPr="00291B21">
        <w:fldChar w:fldCharType="separate"/>
      </w:r>
      <w:r w:rsidRPr="000E7A1D">
        <w:t xml:space="preserve">1. Isbister GK, Fan HW. Spider bite. </w:t>
      </w:r>
      <w:r w:rsidRPr="00291B21">
        <w:t>Lancet 2011;</w:t>
      </w:r>
      <w:r w:rsidR="00186629">
        <w:t xml:space="preserve"> </w:t>
      </w:r>
      <w:r w:rsidRPr="00291B21">
        <w:t>378</w:t>
      </w:r>
      <w:r w:rsidR="00186629">
        <w:t xml:space="preserve"> </w:t>
      </w:r>
      <w:r w:rsidRPr="00291B21">
        <w:t>(9808):</w:t>
      </w:r>
      <w:r w:rsidR="00186629">
        <w:t xml:space="preserve"> </w:t>
      </w:r>
      <w:r w:rsidRPr="00291B21">
        <w:t>2039</w:t>
      </w:r>
      <w:r w:rsidR="00186629">
        <w:t>-</w:t>
      </w:r>
      <w:r w:rsidR="006F32DD">
        <w:t>20</w:t>
      </w:r>
      <w:r w:rsidRPr="00291B21">
        <w:t xml:space="preserve">47. </w:t>
      </w:r>
    </w:p>
    <w:p w14:paraId="00E11C23" w14:textId="77777777" w:rsidR="006F32DD" w:rsidRPr="001105D2" w:rsidRDefault="001105D2" w:rsidP="009B5F22">
      <w:pPr>
        <w:widowControl w:val="0"/>
        <w:autoSpaceDE w:val="0"/>
        <w:autoSpaceDN w:val="0"/>
        <w:adjustRightInd w:val="0"/>
        <w:snapToGrid w:val="0"/>
        <w:spacing w:line="360" w:lineRule="auto"/>
        <w:contextualSpacing/>
        <w:rPr>
          <w:color w:val="000000"/>
        </w:rPr>
      </w:pPr>
      <w:r>
        <w:rPr>
          <w:color w:val="000000"/>
        </w:rPr>
        <w:t>2. Schenone H. Cuadros tóxicos producidos por mordeduras de araña en Chile: latrodectismo y loxoscelismo. Rev M</w:t>
      </w:r>
      <w:r w:rsidR="006F32DD">
        <w:rPr>
          <w:color w:val="000000"/>
        </w:rPr>
        <w:t>e</w:t>
      </w:r>
      <w:r>
        <w:rPr>
          <w:color w:val="000000"/>
        </w:rPr>
        <w:t>d Chil 2003; 131: 437-</w:t>
      </w:r>
      <w:r w:rsidR="006F32DD">
        <w:rPr>
          <w:color w:val="000000"/>
        </w:rPr>
        <w:t>4</w:t>
      </w:r>
      <w:r>
        <w:rPr>
          <w:color w:val="000000"/>
        </w:rPr>
        <w:t xml:space="preserve">44. </w:t>
      </w:r>
    </w:p>
    <w:p w14:paraId="57012E86" w14:textId="77777777" w:rsidR="006F32DD" w:rsidRPr="00291B21" w:rsidRDefault="001105D2" w:rsidP="009B5F22">
      <w:pPr>
        <w:widowControl w:val="0"/>
        <w:autoSpaceDE w:val="0"/>
        <w:autoSpaceDN w:val="0"/>
        <w:adjustRightInd w:val="0"/>
        <w:snapToGrid w:val="0"/>
        <w:spacing w:line="360" w:lineRule="auto"/>
        <w:contextualSpacing/>
        <w:rPr>
          <w:lang w:val="en-US"/>
        </w:rPr>
      </w:pPr>
      <w:r>
        <w:t>3</w:t>
      </w:r>
      <w:r w:rsidR="00291B21" w:rsidRPr="00291B21">
        <w:t xml:space="preserve">. Cabrerizo S, Docampo PC, Cari C, </w:t>
      </w:r>
      <w:r w:rsidR="006F32DD">
        <w:t xml:space="preserve">et al. </w:t>
      </w:r>
      <w:r w:rsidR="00291B21" w:rsidRPr="00291B21">
        <w:t xml:space="preserve">Loxoscelismo: epidemiología y clínica de una patología endémica en el país. </w:t>
      </w:r>
      <w:r w:rsidR="00291B21" w:rsidRPr="00291B21">
        <w:rPr>
          <w:lang w:val="en-US"/>
        </w:rPr>
        <w:t>Arch Argent Pediatr 2009;</w:t>
      </w:r>
      <w:r w:rsidR="00186629">
        <w:rPr>
          <w:lang w:val="en-US"/>
        </w:rPr>
        <w:t xml:space="preserve"> </w:t>
      </w:r>
      <w:r w:rsidR="00291B21" w:rsidRPr="00291B21">
        <w:rPr>
          <w:lang w:val="en-US"/>
        </w:rPr>
        <w:t>107</w:t>
      </w:r>
      <w:r w:rsidR="00186629">
        <w:rPr>
          <w:lang w:val="en-US"/>
        </w:rPr>
        <w:t xml:space="preserve"> </w:t>
      </w:r>
      <w:r w:rsidR="00291B21" w:rsidRPr="00291B21">
        <w:rPr>
          <w:lang w:val="en-US"/>
        </w:rPr>
        <w:t>(2):</w:t>
      </w:r>
      <w:r w:rsidR="00186629">
        <w:rPr>
          <w:lang w:val="en-US"/>
        </w:rPr>
        <w:t xml:space="preserve"> </w:t>
      </w:r>
      <w:r w:rsidR="00291B21" w:rsidRPr="00291B21">
        <w:rPr>
          <w:lang w:val="en-US"/>
        </w:rPr>
        <w:t>152–</w:t>
      </w:r>
      <w:r w:rsidR="006F32DD">
        <w:rPr>
          <w:lang w:val="en-US"/>
        </w:rPr>
        <w:t>15</w:t>
      </w:r>
      <w:r w:rsidR="00291B21" w:rsidRPr="00291B21">
        <w:rPr>
          <w:lang w:val="en-US"/>
        </w:rPr>
        <w:t xml:space="preserve">9. </w:t>
      </w:r>
    </w:p>
    <w:p w14:paraId="6362B347" w14:textId="77777777" w:rsidR="006F32DD" w:rsidRPr="00291B21" w:rsidRDefault="001105D2" w:rsidP="009B5F22">
      <w:pPr>
        <w:widowControl w:val="0"/>
        <w:autoSpaceDE w:val="0"/>
        <w:autoSpaceDN w:val="0"/>
        <w:adjustRightInd w:val="0"/>
        <w:snapToGrid w:val="0"/>
        <w:spacing w:line="360" w:lineRule="auto"/>
        <w:contextualSpacing/>
        <w:rPr>
          <w:lang w:val="en-US"/>
        </w:rPr>
      </w:pPr>
      <w:r>
        <w:rPr>
          <w:lang w:val="en-US"/>
        </w:rPr>
        <w:t>4</w:t>
      </w:r>
      <w:r w:rsidR="00291B21" w:rsidRPr="00291B21">
        <w:rPr>
          <w:lang w:val="en-US"/>
        </w:rPr>
        <w:t xml:space="preserve">. Zimmerman SP, Rothman JA, Hansen JL, Rusin MM, Bertone MA, Hamrick HJ. Systemic </w:t>
      </w:r>
      <w:r w:rsidR="00010DCA">
        <w:rPr>
          <w:lang w:val="en-US"/>
        </w:rPr>
        <w:t>l</w:t>
      </w:r>
      <w:r w:rsidR="00291B21" w:rsidRPr="00291B21">
        <w:rPr>
          <w:lang w:val="en-US"/>
        </w:rPr>
        <w:t xml:space="preserve">oxoscelism in a </w:t>
      </w:r>
      <w:r w:rsidR="00010DCA">
        <w:rPr>
          <w:lang w:val="en-US"/>
        </w:rPr>
        <w:t>n</w:t>
      </w:r>
      <w:r w:rsidR="00291B21" w:rsidRPr="00291B21">
        <w:rPr>
          <w:lang w:val="en-US"/>
        </w:rPr>
        <w:t xml:space="preserve">onendemic </w:t>
      </w:r>
      <w:r w:rsidR="00010DCA">
        <w:rPr>
          <w:lang w:val="en-US"/>
        </w:rPr>
        <w:t>a</w:t>
      </w:r>
      <w:r w:rsidR="00291B21" w:rsidRPr="00291B21">
        <w:rPr>
          <w:lang w:val="en-US"/>
        </w:rPr>
        <w:t xml:space="preserve">rea: </w:t>
      </w:r>
      <w:r w:rsidR="00010DCA">
        <w:rPr>
          <w:lang w:val="en-US"/>
        </w:rPr>
        <w:t>a</w:t>
      </w:r>
      <w:r w:rsidR="00291B21" w:rsidRPr="00291B21">
        <w:rPr>
          <w:lang w:val="en-US"/>
        </w:rPr>
        <w:t xml:space="preserve"> </w:t>
      </w:r>
      <w:r w:rsidR="00010DCA">
        <w:rPr>
          <w:lang w:val="en-US"/>
        </w:rPr>
        <w:t>d</w:t>
      </w:r>
      <w:r w:rsidR="00291B21" w:rsidRPr="00291B21">
        <w:rPr>
          <w:lang w:val="en-US"/>
        </w:rPr>
        <w:t xml:space="preserve">iagnostic </w:t>
      </w:r>
      <w:r w:rsidR="00010DCA">
        <w:rPr>
          <w:lang w:val="en-US"/>
        </w:rPr>
        <w:t>c</w:t>
      </w:r>
      <w:r w:rsidR="00291B21" w:rsidRPr="00291B21">
        <w:rPr>
          <w:lang w:val="en-US"/>
        </w:rPr>
        <w:t xml:space="preserve">hallenge for the </w:t>
      </w:r>
      <w:r w:rsidR="00010DCA">
        <w:rPr>
          <w:lang w:val="en-US"/>
        </w:rPr>
        <w:t>u</w:t>
      </w:r>
      <w:r w:rsidR="00291B21" w:rsidRPr="00291B21">
        <w:rPr>
          <w:lang w:val="en-US"/>
        </w:rPr>
        <w:t xml:space="preserve">nsuspecting </w:t>
      </w:r>
      <w:r w:rsidR="00010DCA">
        <w:rPr>
          <w:lang w:val="en-US"/>
        </w:rPr>
        <w:t>p</w:t>
      </w:r>
      <w:r w:rsidR="00291B21" w:rsidRPr="00291B21">
        <w:rPr>
          <w:lang w:val="en-US"/>
        </w:rPr>
        <w:t>hysician. Clin Pediatr (Phila) 2014;</w:t>
      </w:r>
      <w:r w:rsidR="00186629">
        <w:rPr>
          <w:lang w:val="en-US"/>
        </w:rPr>
        <w:t xml:space="preserve"> </w:t>
      </w:r>
      <w:r w:rsidR="00291B21" w:rsidRPr="00291B21">
        <w:rPr>
          <w:lang w:val="en-US"/>
        </w:rPr>
        <w:t>53</w:t>
      </w:r>
      <w:r w:rsidR="00186629">
        <w:rPr>
          <w:lang w:val="en-US"/>
        </w:rPr>
        <w:t xml:space="preserve"> </w:t>
      </w:r>
      <w:r w:rsidR="00291B21" w:rsidRPr="00291B21">
        <w:rPr>
          <w:lang w:val="en-US"/>
        </w:rPr>
        <w:t>(11):</w:t>
      </w:r>
      <w:r w:rsidR="00186629">
        <w:rPr>
          <w:lang w:val="en-US"/>
        </w:rPr>
        <w:t xml:space="preserve"> </w:t>
      </w:r>
      <w:r w:rsidR="00291B21" w:rsidRPr="00291B21">
        <w:rPr>
          <w:lang w:val="en-US"/>
        </w:rPr>
        <w:t>1098-</w:t>
      </w:r>
      <w:r w:rsidR="00010DCA">
        <w:rPr>
          <w:lang w:val="en-US"/>
        </w:rPr>
        <w:t>1</w:t>
      </w:r>
      <w:r w:rsidR="00291B21" w:rsidRPr="00291B21">
        <w:rPr>
          <w:lang w:val="en-US"/>
        </w:rPr>
        <w:t xml:space="preserve">100. </w:t>
      </w:r>
    </w:p>
    <w:p w14:paraId="5C84A5F9" w14:textId="77777777" w:rsidR="0068693E" w:rsidRPr="00291B21" w:rsidRDefault="001105D2" w:rsidP="009B5F22">
      <w:pPr>
        <w:widowControl w:val="0"/>
        <w:autoSpaceDE w:val="0"/>
        <w:autoSpaceDN w:val="0"/>
        <w:adjustRightInd w:val="0"/>
        <w:snapToGrid w:val="0"/>
        <w:spacing w:line="360" w:lineRule="auto"/>
        <w:contextualSpacing/>
        <w:rPr>
          <w:lang w:val="en-US"/>
        </w:rPr>
      </w:pPr>
      <w:r>
        <w:rPr>
          <w:lang w:val="en-US"/>
        </w:rPr>
        <w:t>5</w:t>
      </w:r>
      <w:r w:rsidR="00291B21" w:rsidRPr="00291B21">
        <w:rPr>
          <w:lang w:val="en-US"/>
        </w:rPr>
        <w:t>. Swanson DL, Vetter RS. Bites of brown recluse spiders and suspected necrotic arachnidism. N Engl J Med</w:t>
      </w:r>
      <w:r w:rsidR="00186629">
        <w:rPr>
          <w:lang w:val="en-US"/>
        </w:rPr>
        <w:t xml:space="preserve"> </w:t>
      </w:r>
      <w:r w:rsidR="00291B21" w:rsidRPr="00291B21">
        <w:rPr>
          <w:lang w:val="en-US"/>
        </w:rPr>
        <w:t>2005;</w:t>
      </w:r>
      <w:r w:rsidR="00186629">
        <w:rPr>
          <w:lang w:val="en-US"/>
        </w:rPr>
        <w:t xml:space="preserve"> </w:t>
      </w:r>
      <w:r w:rsidR="00291B21" w:rsidRPr="00291B21">
        <w:rPr>
          <w:lang w:val="en-US"/>
        </w:rPr>
        <w:t>352</w:t>
      </w:r>
      <w:r w:rsidR="00186629">
        <w:rPr>
          <w:lang w:val="en-US"/>
        </w:rPr>
        <w:t xml:space="preserve"> </w:t>
      </w:r>
      <w:r w:rsidR="00291B21" w:rsidRPr="00291B21">
        <w:rPr>
          <w:lang w:val="en-US"/>
        </w:rPr>
        <w:t>(7):</w:t>
      </w:r>
      <w:r w:rsidR="00186629">
        <w:rPr>
          <w:lang w:val="en-US"/>
        </w:rPr>
        <w:t xml:space="preserve"> </w:t>
      </w:r>
      <w:r w:rsidR="00291B21" w:rsidRPr="00291B21">
        <w:rPr>
          <w:lang w:val="en-US"/>
        </w:rPr>
        <w:t>700–</w:t>
      </w:r>
      <w:r w:rsidR="0068693E">
        <w:rPr>
          <w:lang w:val="en-US"/>
        </w:rPr>
        <w:t>70</w:t>
      </w:r>
      <w:r w:rsidR="00291B21" w:rsidRPr="00291B21">
        <w:rPr>
          <w:lang w:val="en-US"/>
        </w:rPr>
        <w:t xml:space="preserve">7. </w:t>
      </w:r>
    </w:p>
    <w:p w14:paraId="67E032F9" w14:textId="77777777" w:rsidR="00291B21" w:rsidRDefault="001105D2" w:rsidP="009B5F22">
      <w:pPr>
        <w:widowControl w:val="0"/>
        <w:autoSpaceDE w:val="0"/>
        <w:autoSpaceDN w:val="0"/>
        <w:adjustRightInd w:val="0"/>
        <w:snapToGrid w:val="0"/>
        <w:spacing w:line="360" w:lineRule="auto"/>
        <w:contextualSpacing/>
        <w:rPr>
          <w:lang w:val="en-US"/>
        </w:rPr>
      </w:pPr>
      <w:r>
        <w:rPr>
          <w:lang w:val="en-US"/>
        </w:rPr>
        <w:t>6</w:t>
      </w:r>
      <w:r w:rsidR="00291B21" w:rsidRPr="00291B21">
        <w:rPr>
          <w:lang w:val="en-US"/>
        </w:rPr>
        <w:t>. Andersen RJ, Campoli J, Johar SK, Schumacher KA, Allison EJ</w:t>
      </w:r>
      <w:r w:rsidR="0068693E">
        <w:rPr>
          <w:lang w:val="en-US"/>
        </w:rPr>
        <w:t xml:space="preserve"> Jr</w:t>
      </w:r>
      <w:r w:rsidR="00291B21" w:rsidRPr="00291B21">
        <w:rPr>
          <w:lang w:val="en-US"/>
        </w:rPr>
        <w:t xml:space="preserve">. Suspected </w:t>
      </w:r>
      <w:r w:rsidR="0068693E">
        <w:rPr>
          <w:lang w:val="en-US"/>
        </w:rPr>
        <w:t>b</w:t>
      </w:r>
      <w:r w:rsidR="00291B21" w:rsidRPr="00291B21">
        <w:rPr>
          <w:lang w:val="en-US"/>
        </w:rPr>
        <w:t xml:space="preserve">rown </w:t>
      </w:r>
      <w:r w:rsidR="0068693E">
        <w:rPr>
          <w:lang w:val="en-US"/>
        </w:rPr>
        <w:t>r</w:t>
      </w:r>
      <w:r w:rsidR="00291B21" w:rsidRPr="00291B21">
        <w:rPr>
          <w:lang w:val="en-US"/>
        </w:rPr>
        <w:t xml:space="preserve">ecluse </w:t>
      </w:r>
      <w:r w:rsidR="0068693E">
        <w:rPr>
          <w:lang w:val="en-US"/>
        </w:rPr>
        <w:t>e</w:t>
      </w:r>
      <w:r w:rsidR="00291B21" w:rsidRPr="00291B21">
        <w:rPr>
          <w:lang w:val="en-US"/>
        </w:rPr>
        <w:t xml:space="preserve">nvenomation: </w:t>
      </w:r>
      <w:r w:rsidR="0068693E">
        <w:rPr>
          <w:lang w:val="en-US"/>
        </w:rPr>
        <w:t>a</w:t>
      </w:r>
      <w:r w:rsidR="00291B21" w:rsidRPr="00291B21">
        <w:rPr>
          <w:lang w:val="en-US"/>
        </w:rPr>
        <w:t xml:space="preserve"> </w:t>
      </w:r>
      <w:r w:rsidR="0068693E">
        <w:rPr>
          <w:lang w:val="en-US"/>
        </w:rPr>
        <w:t>c</w:t>
      </w:r>
      <w:r w:rsidR="00291B21" w:rsidRPr="00291B21">
        <w:rPr>
          <w:lang w:val="en-US"/>
        </w:rPr>
        <w:t xml:space="preserve">ase </w:t>
      </w:r>
      <w:r w:rsidR="0068693E">
        <w:rPr>
          <w:lang w:val="en-US"/>
        </w:rPr>
        <w:t>r</w:t>
      </w:r>
      <w:r w:rsidR="00291B21" w:rsidRPr="00291B21">
        <w:rPr>
          <w:lang w:val="en-US"/>
        </w:rPr>
        <w:t xml:space="preserve">eport and </w:t>
      </w:r>
      <w:r w:rsidR="0068693E">
        <w:rPr>
          <w:lang w:val="en-US"/>
        </w:rPr>
        <w:t>r</w:t>
      </w:r>
      <w:r w:rsidR="00291B21" w:rsidRPr="00291B21">
        <w:rPr>
          <w:lang w:val="en-US"/>
        </w:rPr>
        <w:t xml:space="preserve">eview of </w:t>
      </w:r>
      <w:r w:rsidR="0068693E">
        <w:rPr>
          <w:lang w:val="en-US"/>
        </w:rPr>
        <w:t>d</w:t>
      </w:r>
      <w:r w:rsidR="00291B21" w:rsidRPr="00291B21">
        <w:rPr>
          <w:lang w:val="en-US"/>
        </w:rPr>
        <w:t xml:space="preserve">ifferent </w:t>
      </w:r>
      <w:r w:rsidR="0068693E">
        <w:rPr>
          <w:lang w:val="en-US"/>
        </w:rPr>
        <w:t>t</w:t>
      </w:r>
      <w:r w:rsidR="00291B21" w:rsidRPr="00291B21">
        <w:rPr>
          <w:lang w:val="en-US"/>
        </w:rPr>
        <w:t xml:space="preserve">reatment </w:t>
      </w:r>
      <w:r w:rsidR="0068693E">
        <w:rPr>
          <w:lang w:val="en-US"/>
        </w:rPr>
        <w:t>m</w:t>
      </w:r>
      <w:r w:rsidR="00291B21" w:rsidRPr="00291B21">
        <w:rPr>
          <w:lang w:val="en-US"/>
        </w:rPr>
        <w:t>odalities</w:t>
      </w:r>
      <w:r w:rsidR="0068693E">
        <w:rPr>
          <w:lang w:val="en-US"/>
        </w:rPr>
        <w:t>.</w:t>
      </w:r>
      <w:r w:rsidR="00291B21" w:rsidRPr="00291B21">
        <w:rPr>
          <w:lang w:val="en-US"/>
        </w:rPr>
        <w:t xml:space="preserve"> J Emerg Med</w:t>
      </w:r>
      <w:r w:rsidR="00186629">
        <w:rPr>
          <w:lang w:val="en-US"/>
        </w:rPr>
        <w:t xml:space="preserve"> </w:t>
      </w:r>
      <w:r w:rsidR="00291B21" w:rsidRPr="00291B21">
        <w:rPr>
          <w:lang w:val="en-US"/>
        </w:rPr>
        <w:t>2011;</w:t>
      </w:r>
      <w:r w:rsidR="00186629">
        <w:rPr>
          <w:lang w:val="en-US"/>
        </w:rPr>
        <w:t xml:space="preserve"> </w:t>
      </w:r>
      <w:r w:rsidR="00291B21" w:rsidRPr="00291B21">
        <w:rPr>
          <w:lang w:val="en-US"/>
        </w:rPr>
        <w:t>41</w:t>
      </w:r>
      <w:r w:rsidR="00186629">
        <w:rPr>
          <w:lang w:val="en-US"/>
        </w:rPr>
        <w:t xml:space="preserve"> </w:t>
      </w:r>
      <w:r w:rsidR="00291B21" w:rsidRPr="00291B21">
        <w:rPr>
          <w:lang w:val="en-US"/>
        </w:rPr>
        <w:t>(2):</w:t>
      </w:r>
      <w:r w:rsidR="00186629">
        <w:rPr>
          <w:lang w:val="en-US"/>
        </w:rPr>
        <w:t xml:space="preserve"> </w:t>
      </w:r>
      <w:r w:rsidR="0068693E">
        <w:rPr>
          <w:lang w:val="en-US"/>
        </w:rPr>
        <w:t>e</w:t>
      </w:r>
      <w:r w:rsidR="00291B21" w:rsidRPr="00291B21">
        <w:rPr>
          <w:lang w:val="en-US"/>
        </w:rPr>
        <w:t>31-</w:t>
      </w:r>
      <w:r w:rsidR="0068693E">
        <w:rPr>
          <w:lang w:val="en-US"/>
        </w:rPr>
        <w:t>e3</w:t>
      </w:r>
      <w:r w:rsidR="00291B21" w:rsidRPr="00291B21">
        <w:rPr>
          <w:lang w:val="en-US"/>
        </w:rPr>
        <w:t xml:space="preserve">7. </w:t>
      </w:r>
    </w:p>
    <w:p w14:paraId="1F105B6B" w14:textId="77777777" w:rsidR="0068693E" w:rsidRPr="00291B21" w:rsidRDefault="001105D2" w:rsidP="009B5F22">
      <w:pPr>
        <w:widowControl w:val="0"/>
        <w:autoSpaceDE w:val="0"/>
        <w:autoSpaceDN w:val="0"/>
        <w:adjustRightInd w:val="0"/>
        <w:snapToGrid w:val="0"/>
        <w:spacing w:line="360" w:lineRule="auto"/>
        <w:contextualSpacing/>
        <w:rPr>
          <w:lang w:val="en-US"/>
        </w:rPr>
      </w:pPr>
      <w:r>
        <w:rPr>
          <w:lang w:val="en-US"/>
        </w:rPr>
        <w:t>7</w:t>
      </w:r>
      <w:r w:rsidR="00291B21" w:rsidRPr="00291B21">
        <w:rPr>
          <w:lang w:val="en-US"/>
        </w:rPr>
        <w:t>. S</w:t>
      </w:r>
      <w:r w:rsidR="00291B21" w:rsidRPr="0068693E">
        <w:rPr>
          <w:lang w:val="en-US"/>
        </w:rPr>
        <w:t>aucier JR. Arachnid envenomation. Emerg Med Clin North Am</w:t>
      </w:r>
      <w:r w:rsidR="00186629" w:rsidRPr="0068693E">
        <w:rPr>
          <w:lang w:val="en-US"/>
        </w:rPr>
        <w:t xml:space="preserve"> </w:t>
      </w:r>
      <w:r w:rsidR="00291B21" w:rsidRPr="0068693E">
        <w:rPr>
          <w:lang w:val="en-US"/>
        </w:rPr>
        <w:t>2004;</w:t>
      </w:r>
      <w:r w:rsidR="00186629" w:rsidRPr="0068693E">
        <w:rPr>
          <w:lang w:val="en-US"/>
        </w:rPr>
        <w:t xml:space="preserve"> </w:t>
      </w:r>
      <w:r w:rsidR="00291B21" w:rsidRPr="0068693E">
        <w:rPr>
          <w:lang w:val="en-US"/>
        </w:rPr>
        <w:t>22</w:t>
      </w:r>
      <w:r w:rsidR="00186629" w:rsidRPr="0068693E">
        <w:rPr>
          <w:lang w:val="en-US"/>
        </w:rPr>
        <w:t xml:space="preserve"> </w:t>
      </w:r>
      <w:r w:rsidR="00291B21" w:rsidRPr="0068693E">
        <w:rPr>
          <w:lang w:val="en-US"/>
        </w:rPr>
        <w:t>(2):</w:t>
      </w:r>
      <w:r w:rsidR="00186629" w:rsidRPr="0068693E">
        <w:rPr>
          <w:lang w:val="en-US"/>
        </w:rPr>
        <w:t xml:space="preserve"> </w:t>
      </w:r>
      <w:r w:rsidR="00291B21" w:rsidRPr="0068693E">
        <w:rPr>
          <w:lang w:val="en-US"/>
        </w:rPr>
        <w:t xml:space="preserve">405-22. </w:t>
      </w:r>
    </w:p>
    <w:p w14:paraId="518FCCFF" w14:textId="77777777" w:rsidR="0068693E" w:rsidRPr="00186629" w:rsidRDefault="001105D2" w:rsidP="009B5F22">
      <w:pPr>
        <w:widowControl w:val="0"/>
        <w:autoSpaceDE w:val="0"/>
        <w:autoSpaceDN w:val="0"/>
        <w:adjustRightInd w:val="0"/>
        <w:snapToGrid w:val="0"/>
        <w:spacing w:line="360" w:lineRule="auto"/>
        <w:contextualSpacing/>
        <w:rPr>
          <w:lang w:val="en-US"/>
        </w:rPr>
      </w:pPr>
      <w:r>
        <w:rPr>
          <w:lang w:val="en-US"/>
        </w:rPr>
        <w:t>8</w:t>
      </w:r>
      <w:r w:rsidR="00291B21" w:rsidRPr="00291B21">
        <w:rPr>
          <w:lang w:val="en-US"/>
        </w:rPr>
        <w:t>. Stoecker WV, Vetter RS, Dyer JA. NOT RECLUSE</w:t>
      </w:r>
      <w:r w:rsidR="0068693E">
        <w:rPr>
          <w:lang w:val="en-US"/>
        </w:rPr>
        <w:t>-</w:t>
      </w:r>
      <w:r w:rsidR="00291B21" w:rsidRPr="00291B21">
        <w:rPr>
          <w:lang w:val="en-US"/>
        </w:rPr>
        <w:t xml:space="preserve">A Mnemonic Device to Avoid </w:t>
      </w:r>
      <w:r w:rsidR="00291B21" w:rsidRPr="00291B21">
        <w:rPr>
          <w:lang w:val="en-US"/>
        </w:rPr>
        <w:lastRenderedPageBreak/>
        <w:t xml:space="preserve">False Diagnoses of Brown Recluse Spider Bites. </w:t>
      </w:r>
      <w:r w:rsidR="00291B21" w:rsidRPr="00186629">
        <w:rPr>
          <w:lang w:val="en-US"/>
        </w:rPr>
        <w:t>Jama Dermatol 2017;</w:t>
      </w:r>
      <w:r w:rsidR="00DE61CD">
        <w:rPr>
          <w:lang w:val="en-US"/>
        </w:rPr>
        <w:t xml:space="preserve"> </w:t>
      </w:r>
      <w:r w:rsidR="00291B21" w:rsidRPr="00186629">
        <w:rPr>
          <w:lang w:val="en-US"/>
        </w:rPr>
        <w:t>153</w:t>
      </w:r>
      <w:r w:rsidR="00DE61CD">
        <w:rPr>
          <w:lang w:val="en-US"/>
        </w:rPr>
        <w:t xml:space="preserve"> </w:t>
      </w:r>
      <w:r w:rsidR="00291B21" w:rsidRPr="00186629">
        <w:rPr>
          <w:lang w:val="en-US"/>
        </w:rPr>
        <w:t>(5):</w:t>
      </w:r>
      <w:r w:rsidR="00DE61CD">
        <w:rPr>
          <w:lang w:val="en-US"/>
        </w:rPr>
        <w:t xml:space="preserve"> </w:t>
      </w:r>
      <w:r w:rsidR="00291B21" w:rsidRPr="00186629">
        <w:rPr>
          <w:lang w:val="en-US"/>
        </w:rPr>
        <w:t>377</w:t>
      </w:r>
      <w:r w:rsidR="0068693E">
        <w:rPr>
          <w:lang w:val="en-US"/>
        </w:rPr>
        <w:t>-37</w:t>
      </w:r>
      <w:r w:rsidR="00291B21" w:rsidRPr="00186629">
        <w:rPr>
          <w:lang w:val="en-US"/>
        </w:rPr>
        <w:t xml:space="preserve">8. </w:t>
      </w:r>
    </w:p>
    <w:p w14:paraId="14B82429" w14:textId="77777777" w:rsidR="0068693E" w:rsidRDefault="001105D2" w:rsidP="009B5F22">
      <w:pPr>
        <w:widowControl w:val="0"/>
        <w:autoSpaceDE w:val="0"/>
        <w:autoSpaceDN w:val="0"/>
        <w:adjustRightInd w:val="0"/>
        <w:snapToGrid w:val="0"/>
        <w:spacing w:line="360" w:lineRule="auto"/>
        <w:contextualSpacing/>
        <w:rPr>
          <w:lang w:val="en-US"/>
        </w:rPr>
      </w:pPr>
      <w:r>
        <w:rPr>
          <w:lang w:val="en-US"/>
        </w:rPr>
        <w:t>9</w:t>
      </w:r>
      <w:r w:rsidR="00291B21" w:rsidRPr="000B14BA">
        <w:rPr>
          <w:lang w:val="en-US"/>
        </w:rPr>
        <w:t xml:space="preserve">. </w:t>
      </w:r>
      <w:r w:rsidR="000B14BA" w:rsidRPr="000B14BA">
        <w:rPr>
          <w:lang w:val="en-US"/>
        </w:rPr>
        <w:t xml:space="preserve">Swanson DL, Vetter RS. Loxoscelism. </w:t>
      </w:r>
      <w:r w:rsidR="000B14BA">
        <w:rPr>
          <w:lang w:val="en-US"/>
        </w:rPr>
        <w:t>Clin Dermatol 2006; 24</w:t>
      </w:r>
      <w:r w:rsidR="0068693E">
        <w:rPr>
          <w:lang w:val="en-US"/>
        </w:rPr>
        <w:t xml:space="preserve"> (3)</w:t>
      </w:r>
      <w:r w:rsidR="000B14BA">
        <w:rPr>
          <w:lang w:val="en-US"/>
        </w:rPr>
        <w:t>: 213-</w:t>
      </w:r>
      <w:r w:rsidR="0068693E">
        <w:rPr>
          <w:lang w:val="en-US"/>
        </w:rPr>
        <w:t>2</w:t>
      </w:r>
      <w:r w:rsidR="000B14BA">
        <w:rPr>
          <w:lang w:val="en-US"/>
        </w:rPr>
        <w:t>21.</w:t>
      </w:r>
    </w:p>
    <w:p w14:paraId="77500458" w14:textId="77777777" w:rsidR="002307D1" w:rsidRDefault="001105D2" w:rsidP="009B5F22">
      <w:pPr>
        <w:widowControl w:val="0"/>
        <w:autoSpaceDE w:val="0"/>
        <w:autoSpaceDN w:val="0"/>
        <w:adjustRightInd w:val="0"/>
        <w:snapToGrid w:val="0"/>
        <w:spacing w:line="360" w:lineRule="auto"/>
        <w:contextualSpacing/>
        <w:rPr>
          <w:lang w:val="en-US"/>
        </w:rPr>
      </w:pPr>
      <w:r>
        <w:rPr>
          <w:lang w:val="en-US"/>
        </w:rPr>
        <w:t>10</w:t>
      </w:r>
      <w:r w:rsidR="00291B21" w:rsidRPr="002307D1">
        <w:rPr>
          <w:lang w:val="en-US"/>
        </w:rPr>
        <w:t xml:space="preserve">. </w:t>
      </w:r>
      <w:r w:rsidR="002307D1" w:rsidRPr="002307D1">
        <w:rPr>
          <w:lang w:val="en-US"/>
        </w:rPr>
        <w:t>Gertsch W, Ennik F. The spider genus Loxosceles in North America, Cent</w:t>
      </w:r>
      <w:r w:rsidR="003D1FE2">
        <w:rPr>
          <w:lang w:val="en-US"/>
        </w:rPr>
        <w:t>r</w:t>
      </w:r>
      <w:r w:rsidR="002307D1" w:rsidRPr="002307D1">
        <w:rPr>
          <w:lang w:val="en-US"/>
        </w:rPr>
        <w:t xml:space="preserve">al America </w:t>
      </w:r>
      <w:r w:rsidR="002307D1">
        <w:rPr>
          <w:lang w:val="en-US"/>
        </w:rPr>
        <w:t xml:space="preserve">and the West Indies (Araneae Loxoscelidae). Bull A Mus Nat His 1983; 175: 264-360. </w:t>
      </w:r>
    </w:p>
    <w:p w14:paraId="53C3A0CC" w14:textId="77777777" w:rsidR="00291B21" w:rsidRDefault="00291B21" w:rsidP="009B5F22">
      <w:pPr>
        <w:widowControl w:val="0"/>
        <w:autoSpaceDE w:val="0"/>
        <w:autoSpaceDN w:val="0"/>
        <w:adjustRightInd w:val="0"/>
        <w:snapToGrid w:val="0"/>
        <w:spacing w:line="360" w:lineRule="auto"/>
        <w:contextualSpacing/>
        <w:rPr>
          <w:lang w:val="en-US"/>
        </w:rPr>
      </w:pPr>
      <w:r w:rsidRPr="00291B21">
        <w:rPr>
          <w:lang w:val="en-US"/>
        </w:rPr>
        <w:t>1</w:t>
      </w:r>
      <w:r w:rsidR="001105D2">
        <w:rPr>
          <w:lang w:val="en-US"/>
        </w:rPr>
        <w:t>1</w:t>
      </w:r>
      <w:r w:rsidRPr="00291B21">
        <w:rPr>
          <w:lang w:val="en-US"/>
        </w:rPr>
        <w:t xml:space="preserve">. Nentwig W, Pantini P, Vetter RS. Distribution and medical aspects of Loxosceles rufescens, one of the most invasive spiders of the world (Araneae: Sicariidae). </w:t>
      </w:r>
      <w:r w:rsidRPr="00186629">
        <w:rPr>
          <w:lang w:val="en-US"/>
        </w:rPr>
        <w:t>Toxicon</w:t>
      </w:r>
      <w:r w:rsidR="00DE61CD">
        <w:rPr>
          <w:lang w:val="en-US"/>
        </w:rPr>
        <w:t xml:space="preserve"> </w:t>
      </w:r>
      <w:r w:rsidRPr="00186629">
        <w:rPr>
          <w:lang w:val="en-US"/>
        </w:rPr>
        <w:t>2017;</w:t>
      </w:r>
      <w:r w:rsidR="00DE61CD">
        <w:rPr>
          <w:lang w:val="en-US"/>
        </w:rPr>
        <w:t xml:space="preserve"> </w:t>
      </w:r>
      <w:r w:rsidRPr="00186629">
        <w:rPr>
          <w:lang w:val="en-US"/>
        </w:rPr>
        <w:t>132:</w:t>
      </w:r>
      <w:r w:rsidR="00DE61CD">
        <w:rPr>
          <w:lang w:val="en-US"/>
        </w:rPr>
        <w:t xml:space="preserve"> </w:t>
      </w:r>
      <w:r w:rsidRPr="00186629">
        <w:rPr>
          <w:lang w:val="en-US"/>
        </w:rPr>
        <w:t xml:space="preserve">19-28. </w:t>
      </w:r>
    </w:p>
    <w:p w14:paraId="12FCA3A1" w14:textId="77777777" w:rsidR="004878D4" w:rsidRDefault="00FA7CC5" w:rsidP="009B5F22">
      <w:pPr>
        <w:widowControl w:val="0"/>
        <w:autoSpaceDE w:val="0"/>
        <w:autoSpaceDN w:val="0"/>
        <w:adjustRightInd w:val="0"/>
        <w:snapToGrid w:val="0"/>
        <w:spacing w:line="360" w:lineRule="auto"/>
        <w:contextualSpacing/>
        <w:rPr>
          <w:lang w:val="en-US"/>
        </w:rPr>
      </w:pPr>
      <w:r w:rsidRPr="00FA7CC5">
        <w:rPr>
          <w:lang w:val="en-US"/>
        </w:rPr>
        <w:t>1</w:t>
      </w:r>
      <w:r w:rsidR="001105D2">
        <w:rPr>
          <w:lang w:val="en-US"/>
        </w:rPr>
        <w:t>2</w:t>
      </w:r>
      <w:r w:rsidRPr="00FA7CC5">
        <w:rPr>
          <w:lang w:val="en-US"/>
        </w:rPr>
        <w:t xml:space="preserve">. Southcott RV. Spiders of the </w:t>
      </w:r>
      <w:r>
        <w:rPr>
          <w:lang w:val="en-US"/>
        </w:rPr>
        <w:t xml:space="preserve">genus </w:t>
      </w:r>
      <w:r w:rsidRPr="00562029">
        <w:rPr>
          <w:i/>
          <w:iCs/>
          <w:lang w:val="en-US"/>
        </w:rPr>
        <w:t>Loxosc</w:t>
      </w:r>
      <w:r w:rsidR="00562029" w:rsidRPr="00562029">
        <w:rPr>
          <w:i/>
          <w:iCs/>
          <w:lang w:val="en-US"/>
        </w:rPr>
        <w:t>e</w:t>
      </w:r>
      <w:r w:rsidRPr="00562029">
        <w:rPr>
          <w:i/>
          <w:iCs/>
          <w:lang w:val="en-US"/>
        </w:rPr>
        <w:t xml:space="preserve">les </w:t>
      </w:r>
      <w:r>
        <w:rPr>
          <w:lang w:val="en-US"/>
        </w:rPr>
        <w:t>in Australia. Med J Aust 1976; 1</w:t>
      </w:r>
      <w:r w:rsidR="004878D4">
        <w:rPr>
          <w:lang w:val="en-US"/>
        </w:rPr>
        <w:t xml:space="preserve"> (12)</w:t>
      </w:r>
      <w:r>
        <w:rPr>
          <w:lang w:val="en-US"/>
        </w:rPr>
        <w:t>: 406-</w:t>
      </w:r>
      <w:r w:rsidR="004878D4">
        <w:rPr>
          <w:lang w:val="en-US"/>
        </w:rPr>
        <w:t>40</w:t>
      </w:r>
      <w:r>
        <w:rPr>
          <w:lang w:val="en-US"/>
        </w:rPr>
        <w:t xml:space="preserve">8. </w:t>
      </w:r>
    </w:p>
    <w:p w14:paraId="011E1216" w14:textId="77777777" w:rsidR="004878D4" w:rsidRDefault="00DF5F13" w:rsidP="009B5F22">
      <w:pPr>
        <w:widowControl w:val="0"/>
        <w:autoSpaceDE w:val="0"/>
        <w:autoSpaceDN w:val="0"/>
        <w:adjustRightInd w:val="0"/>
        <w:snapToGrid w:val="0"/>
        <w:spacing w:line="360" w:lineRule="auto"/>
        <w:contextualSpacing/>
        <w:rPr>
          <w:lang w:val="en-US"/>
        </w:rPr>
      </w:pPr>
      <w:r>
        <w:rPr>
          <w:lang w:val="en-US"/>
        </w:rPr>
        <w:t>1</w:t>
      </w:r>
      <w:r w:rsidR="001105D2">
        <w:rPr>
          <w:lang w:val="en-US"/>
        </w:rPr>
        <w:t>3</w:t>
      </w:r>
      <w:r>
        <w:rPr>
          <w:lang w:val="en-US"/>
        </w:rPr>
        <w:t>. Futrell JM. Loxoscelism. Am J Med Sci 1992; 304</w:t>
      </w:r>
      <w:r w:rsidR="004878D4">
        <w:rPr>
          <w:lang w:val="en-US"/>
        </w:rPr>
        <w:t xml:space="preserve"> (4)</w:t>
      </w:r>
      <w:r>
        <w:rPr>
          <w:lang w:val="en-US"/>
        </w:rPr>
        <w:t>: 261-</w:t>
      </w:r>
      <w:r w:rsidR="004878D4">
        <w:rPr>
          <w:lang w:val="en-US"/>
        </w:rPr>
        <w:t>26</w:t>
      </w:r>
      <w:r>
        <w:rPr>
          <w:lang w:val="en-US"/>
        </w:rPr>
        <w:t xml:space="preserve">7. </w:t>
      </w:r>
    </w:p>
    <w:p w14:paraId="79A88B1D" w14:textId="77777777" w:rsidR="004878D4" w:rsidRPr="004878D4" w:rsidRDefault="00291B21" w:rsidP="009B5F22">
      <w:pPr>
        <w:widowControl w:val="0"/>
        <w:autoSpaceDE w:val="0"/>
        <w:autoSpaceDN w:val="0"/>
        <w:adjustRightInd w:val="0"/>
        <w:snapToGrid w:val="0"/>
        <w:spacing w:line="360" w:lineRule="auto"/>
        <w:contextualSpacing/>
      </w:pPr>
      <w:r w:rsidRPr="00595F69">
        <w:t>1</w:t>
      </w:r>
      <w:r w:rsidR="001105D2" w:rsidRPr="00595F69">
        <w:t>4</w:t>
      </w:r>
      <w:r w:rsidRPr="00595F69">
        <w:t xml:space="preserve">. </w:t>
      </w:r>
      <w:r w:rsidR="00595F69" w:rsidRPr="00291B21">
        <w:t xml:space="preserve">Manríquez JJ, Silva S. Loxoscelismo cutáneo y cutáneo-visceral: Revisión sistemática. </w:t>
      </w:r>
      <w:r w:rsidR="00595F69" w:rsidRPr="002307D1">
        <w:t>Rev Chil</w:t>
      </w:r>
      <w:r w:rsidR="004878D4">
        <w:t>ena</w:t>
      </w:r>
      <w:r w:rsidR="00595F69" w:rsidRPr="002307D1">
        <w:t xml:space="preserve"> Infectol 2009;</w:t>
      </w:r>
      <w:r w:rsidR="00595F69">
        <w:t xml:space="preserve"> </w:t>
      </w:r>
      <w:r w:rsidR="00595F69" w:rsidRPr="002307D1">
        <w:t>26</w:t>
      </w:r>
      <w:r w:rsidR="00595F69">
        <w:t xml:space="preserve"> </w:t>
      </w:r>
      <w:r w:rsidR="00595F69" w:rsidRPr="002307D1">
        <w:t>(5):</w:t>
      </w:r>
      <w:r w:rsidR="00595F69">
        <w:t xml:space="preserve"> </w:t>
      </w:r>
      <w:r w:rsidR="00595F69" w:rsidRPr="002307D1">
        <w:t>420</w:t>
      </w:r>
      <w:r w:rsidR="004878D4">
        <w:t>-</w:t>
      </w:r>
      <w:r w:rsidR="00595F69" w:rsidRPr="002307D1">
        <w:t>432.</w:t>
      </w:r>
    </w:p>
    <w:p w14:paraId="51EDCF6C" w14:textId="77777777" w:rsidR="004878D4" w:rsidRDefault="00291B21" w:rsidP="009B5F22">
      <w:pPr>
        <w:widowControl w:val="0"/>
        <w:autoSpaceDE w:val="0"/>
        <w:autoSpaceDN w:val="0"/>
        <w:adjustRightInd w:val="0"/>
        <w:snapToGrid w:val="0"/>
        <w:spacing w:line="360" w:lineRule="auto"/>
        <w:contextualSpacing/>
      </w:pPr>
      <w:r w:rsidRPr="00291B21">
        <w:t>1</w:t>
      </w:r>
      <w:r w:rsidR="001105D2">
        <w:t>5</w:t>
      </w:r>
      <w:r w:rsidRPr="00291B21">
        <w:t xml:space="preserve">. </w:t>
      </w:r>
      <w:r w:rsidR="00595F69" w:rsidRPr="00291B21">
        <w:t>Zambrano A, González J, Callejas G. Desenlace fatal por loxoscelismo cutáneo visceral</w:t>
      </w:r>
      <w:r w:rsidR="004878D4">
        <w:t xml:space="preserve">. </w:t>
      </w:r>
      <w:r w:rsidR="00595F69" w:rsidRPr="00291B21">
        <w:t>Rev M</w:t>
      </w:r>
      <w:r w:rsidR="004878D4">
        <w:t>e</w:t>
      </w:r>
      <w:r w:rsidR="00595F69">
        <w:t>d</w:t>
      </w:r>
      <w:r w:rsidR="00595F69" w:rsidRPr="00291B21">
        <w:t xml:space="preserve"> Chil</w:t>
      </w:r>
      <w:r w:rsidR="00595F69">
        <w:t xml:space="preserve"> </w:t>
      </w:r>
      <w:r w:rsidR="00595F69" w:rsidRPr="00291B21">
        <w:t>2005;</w:t>
      </w:r>
      <w:r w:rsidR="00595F69">
        <w:t xml:space="preserve"> </w:t>
      </w:r>
      <w:r w:rsidR="00595F69" w:rsidRPr="00291B21">
        <w:t>133</w:t>
      </w:r>
      <w:r w:rsidR="00595F69">
        <w:t xml:space="preserve"> </w:t>
      </w:r>
      <w:r w:rsidR="00595F69" w:rsidRPr="00291B21">
        <w:t>(2):</w:t>
      </w:r>
      <w:r w:rsidR="00595F69">
        <w:t xml:space="preserve"> </w:t>
      </w:r>
      <w:r w:rsidR="00595F69" w:rsidRPr="00291B21">
        <w:t>219</w:t>
      </w:r>
      <w:r w:rsidR="004878D4">
        <w:t>-2</w:t>
      </w:r>
      <w:r w:rsidR="00595F69" w:rsidRPr="00291B21">
        <w:t>23.</w:t>
      </w:r>
    </w:p>
    <w:p w14:paraId="2B3B393A" w14:textId="77777777" w:rsidR="004B0438" w:rsidRDefault="00FF113E" w:rsidP="009B5F22">
      <w:pPr>
        <w:widowControl w:val="0"/>
        <w:autoSpaceDE w:val="0"/>
        <w:autoSpaceDN w:val="0"/>
        <w:adjustRightInd w:val="0"/>
        <w:snapToGrid w:val="0"/>
        <w:spacing w:after="240" w:line="360" w:lineRule="auto"/>
        <w:contextualSpacing/>
        <w:outlineLvl w:val="0"/>
      </w:pPr>
      <w:r>
        <w:t>1</w:t>
      </w:r>
      <w:r w:rsidR="001105D2">
        <w:t>6</w:t>
      </w:r>
      <w:r>
        <w:t>.</w:t>
      </w:r>
      <w:r w:rsidR="006725FE">
        <w:t xml:space="preserve"> </w:t>
      </w:r>
      <w:r w:rsidR="00595F69" w:rsidRPr="00291B21">
        <w:t xml:space="preserve">Harz-Fresno I, Manterola P, </w:t>
      </w:r>
      <w:r w:rsidR="004878D4">
        <w:t xml:space="preserve">Ru Z M, </w:t>
      </w:r>
      <w:r w:rsidR="00595F69" w:rsidRPr="00291B21">
        <w:t>Abud C. Loxoscelismo cutáneo visceral: actualización en el manejo a propósito de un caso. Rev Chil</w:t>
      </w:r>
      <w:r w:rsidR="004878D4">
        <w:t>ena</w:t>
      </w:r>
      <w:r w:rsidR="00595F69" w:rsidRPr="00291B21">
        <w:t xml:space="preserve"> Infectol</w:t>
      </w:r>
      <w:r w:rsidR="00595F69">
        <w:t xml:space="preserve"> </w:t>
      </w:r>
      <w:r w:rsidR="00595F69" w:rsidRPr="00291B21">
        <w:t>2015;</w:t>
      </w:r>
      <w:r w:rsidR="00595F69">
        <w:t xml:space="preserve"> </w:t>
      </w:r>
      <w:r w:rsidR="00595F69" w:rsidRPr="00291B21">
        <w:t>32</w:t>
      </w:r>
      <w:r w:rsidR="00595F69">
        <w:t xml:space="preserve"> </w:t>
      </w:r>
      <w:r w:rsidR="00595F69" w:rsidRPr="00291B21">
        <w:t>(2):</w:t>
      </w:r>
      <w:r w:rsidR="00595F69">
        <w:t xml:space="preserve"> </w:t>
      </w:r>
      <w:r w:rsidR="00595F69" w:rsidRPr="00291B21">
        <w:t>230</w:t>
      </w:r>
      <w:r w:rsidR="004878D4">
        <w:t>-23</w:t>
      </w:r>
      <w:r w:rsidR="00595F69" w:rsidRPr="00291B21">
        <w:t>3.</w:t>
      </w:r>
    </w:p>
    <w:p w14:paraId="1A0F3B7E" w14:textId="77777777" w:rsidR="002A7CDF" w:rsidRPr="002A7CDF" w:rsidRDefault="002A7CDF" w:rsidP="009B5F22">
      <w:pPr>
        <w:widowControl w:val="0"/>
        <w:autoSpaceDE w:val="0"/>
        <w:autoSpaceDN w:val="0"/>
        <w:adjustRightInd w:val="0"/>
        <w:snapToGrid w:val="0"/>
        <w:spacing w:after="240" w:line="360" w:lineRule="auto"/>
        <w:contextualSpacing/>
        <w:outlineLvl w:val="0"/>
        <w:rPr>
          <w:lang w:val="en-US"/>
        </w:rPr>
      </w:pPr>
      <w:r>
        <w:t xml:space="preserve">17. </w:t>
      </w:r>
      <w:r w:rsidRPr="002A7CDF">
        <w:rPr>
          <w:lang w:val="es-ES"/>
        </w:rPr>
        <w:t xml:space="preserve">Machiavello A. La Loxosceles laeta, causa del aracnoidismo cutáneo o mancha grangrenosa de Chile. </w:t>
      </w:r>
      <w:r w:rsidRPr="002A7CDF">
        <w:rPr>
          <w:lang w:val="en-US"/>
        </w:rPr>
        <w:t>Rev Ch Hist Nat 1937; 41: 11-19.</w:t>
      </w:r>
    </w:p>
    <w:p w14:paraId="556A06F2" w14:textId="77777777" w:rsidR="002A7CDF" w:rsidRDefault="002A7CDF" w:rsidP="009B5F22">
      <w:pPr>
        <w:widowControl w:val="0"/>
        <w:autoSpaceDE w:val="0"/>
        <w:autoSpaceDN w:val="0"/>
        <w:adjustRightInd w:val="0"/>
        <w:snapToGrid w:val="0"/>
        <w:spacing w:after="240" w:line="360" w:lineRule="auto"/>
        <w:contextualSpacing/>
        <w:outlineLvl w:val="0"/>
      </w:pPr>
      <w:r w:rsidRPr="002A7CDF">
        <w:rPr>
          <w:lang w:val="en-US"/>
        </w:rPr>
        <w:t xml:space="preserve">18. Macchiavello A. Cutaneous arachnidism or gangrenous spot of Chile. </w:t>
      </w:r>
      <w:r w:rsidRPr="002A7CDF">
        <w:rPr>
          <w:lang w:val="es-ES"/>
        </w:rPr>
        <w:t>Puerto Rico J Pub Health 1947; 22:425.</w:t>
      </w:r>
    </w:p>
    <w:p w14:paraId="5F995844" w14:textId="77777777" w:rsidR="004B0438" w:rsidRDefault="00291B21" w:rsidP="009B5F22">
      <w:pPr>
        <w:widowControl w:val="0"/>
        <w:autoSpaceDE w:val="0"/>
        <w:autoSpaceDN w:val="0"/>
        <w:adjustRightInd w:val="0"/>
        <w:snapToGrid w:val="0"/>
        <w:spacing w:after="240" w:line="360" w:lineRule="auto"/>
        <w:contextualSpacing/>
        <w:outlineLvl w:val="0"/>
      </w:pPr>
      <w:r w:rsidRPr="00291B21">
        <w:t>1</w:t>
      </w:r>
      <w:r w:rsidR="002A7CDF">
        <w:t>9</w:t>
      </w:r>
      <w:r w:rsidRPr="00291B21">
        <w:t xml:space="preserve">. </w:t>
      </w:r>
      <w:r w:rsidR="00595F69" w:rsidRPr="00291B21">
        <w:t>Ríos JC, Pérez M, Sánchez P, Bettini M, Mieres JJ, Paris E. Caracterización clínico-epidemiológica telefónica de la mordedura por araña de rincón, en un centro de información toxicológica de Chile, durante el año 2005. Rev M</w:t>
      </w:r>
      <w:r w:rsidR="004B0438">
        <w:t>e</w:t>
      </w:r>
      <w:r w:rsidR="00595F69">
        <w:t>d</w:t>
      </w:r>
      <w:r w:rsidR="00595F69" w:rsidRPr="00291B21">
        <w:t xml:space="preserve"> Chil</w:t>
      </w:r>
      <w:r w:rsidR="00595F69">
        <w:t xml:space="preserve"> </w:t>
      </w:r>
      <w:r w:rsidR="00595F69" w:rsidRPr="00291B21">
        <w:t>2007;</w:t>
      </w:r>
      <w:r w:rsidR="00595F69">
        <w:t xml:space="preserve"> </w:t>
      </w:r>
      <w:r w:rsidR="00595F69" w:rsidRPr="00291B21">
        <w:t>135</w:t>
      </w:r>
      <w:r w:rsidR="004B0438">
        <w:t xml:space="preserve"> </w:t>
      </w:r>
      <w:r w:rsidR="00595F69" w:rsidRPr="00291B21">
        <w:t>(9):</w:t>
      </w:r>
      <w:r w:rsidR="00595F69">
        <w:t xml:space="preserve"> </w:t>
      </w:r>
      <w:r w:rsidR="00595F69" w:rsidRPr="00291B21">
        <w:t>1160</w:t>
      </w:r>
      <w:r w:rsidR="004B0438">
        <w:t>-116</w:t>
      </w:r>
      <w:r w:rsidR="00595F69" w:rsidRPr="00291B21">
        <w:t>5.</w:t>
      </w:r>
    </w:p>
    <w:p w14:paraId="18DC0731" w14:textId="77777777" w:rsidR="004B0438" w:rsidRPr="004B0438" w:rsidRDefault="002A7CDF" w:rsidP="009B5F22">
      <w:pPr>
        <w:widowControl w:val="0"/>
        <w:autoSpaceDE w:val="0"/>
        <w:autoSpaceDN w:val="0"/>
        <w:adjustRightInd w:val="0"/>
        <w:snapToGrid w:val="0"/>
        <w:spacing w:after="240" w:line="360" w:lineRule="auto"/>
        <w:contextualSpacing/>
        <w:outlineLvl w:val="0"/>
        <w:rPr>
          <w:lang w:val="en-US"/>
        </w:rPr>
      </w:pPr>
      <w:r>
        <w:t>20</w:t>
      </w:r>
      <w:r w:rsidR="00291B21" w:rsidRPr="00291B21">
        <w:t xml:space="preserve">. </w:t>
      </w:r>
      <w:r w:rsidR="00595F69" w:rsidRPr="00291B21">
        <w:t xml:space="preserve">Schenone H, Saavedra T, Rojas A, Villarroel F. Loxoscelismo en Chile. Estudios epidemiológicos, clínicos y experimentales. </w:t>
      </w:r>
      <w:r w:rsidR="00595F69" w:rsidRPr="000E7A1D">
        <w:rPr>
          <w:lang w:val="en-US"/>
        </w:rPr>
        <w:t>Rev Inst Med Trop S</w:t>
      </w:r>
      <w:r w:rsidR="004B0438">
        <w:rPr>
          <w:lang w:val="en-US"/>
        </w:rPr>
        <w:t>ao</w:t>
      </w:r>
      <w:r w:rsidR="00595F69" w:rsidRPr="000E7A1D">
        <w:rPr>
          <w:lang w:val="en-US"/>
        </w:rPr>
        <w:t xml:space="preserve"> Paulo 1989; 31</w:t>
      </w:r>
      <w:r w:rsidR="004B0438">
        <w:rPr>
          <w:lang w:val="en-US"/>
        </w:rPr>
        <w:t xml:space="preserve"> (6)</w:t>
      </w:r>
      <w:r w:rsidR="00595F69" w:rsidRPr="000E7A1D">
        <w:rPr>
          <w:lang w:val="en-US"/>
        </w:rPr>
        <w:t>: 403-</w:t>
      </w:r>
      <w:r w:rsidR="004B0438">
        <w:rPr>
          <w:lang w:val="en-US"/>
        </w:rPr>
        <w:t>4</w:t>
      </w:r>
      <w:r w:rsidR="00595F69" w:rsidRPr="000E7A1D">
        <w:rPr>
          <w:lang w:val="en-US"/>
        </w:rPr>
        <w:t>15.</w:t>
      </w:r>
    </w:p>
    <w:p w14:paraId="4C0C9826" w14:textId="77777777" w:rsidR="004B0438" w:rsidRDefault="002A7CDF" w:rsidP="009B5F22">
      <w:pPr>
        <w:widowControl w:val="0"/>
        <w:autoSpaceDE w:val="0"/>
        <w:autoSpaceDN w:val="0"/>
        <w:adjustRightInd w:val="0"/>
        <w:snapToGrid w:val="0"/>
        <w:spacing w:after="240" w:line="360" w:lineRule="auto"/>
        <w:contextualSpacing/>
        <w:outlineLvl w:val="0"/>
      </w:pPr>
      <w:r>
        <w:rPr>
          <w:lang w:val="en-US"/>
        </w:rPr>
        <w:t>21</w:t>
      </w:r>
      <w:r w:rsidR="00291B21" w:rsidRPr="00595F69">
        <w:rPr>
          <w:lang w:val="en-US"/>
        </w:rPr>
        <w:t xml:space="preserve">. </w:t>
      </w:r>
      <w:r w:rsidR="00595F69" w:rsidRPr="0013362A">
        <w:rPr>
          <w:lang w:val="en-US"/>
        </w:rPr>
        <w:t>Rees R</w:t>
      </w:r>
      <w:r w:rsidR="004B0438">
        <w:rPr>
          <w:lang w:val="en-US"/>
        </w:rPr>
        <w:t>, Campbell D, Rieger E, King LE.</w:t>
      </w:r>
      <w:r w:rsidR="00595F69" w:rsidRPr="0013362A">
        <w:rPr>
          <w:lang w:val="en-US"/>
        </w:rPr>
        <w:t xml:space="preserve"> The diagnosis an</w:t>
      </w:r>
      <w:r w:rsidR="00595F69">
        <w:rPr>
          <w:lang w:val="en-US"/>
        </w:rPr>
        <w:t xml:space="preserve">d treatment of brown recluse spider bites. </w:t>
      </w:r>
      <w:r w:rsidR="00595F69" w:rsidRPr="0013362A">
        <w:t xml:space="preserve">Ann Emerg Med 1987: </w:t>
      </w:r>
      <w:r w:rsidR="004B0438">
        <w:t xml:space="preserve">16 (9): </w:t>
      </w:r>
      <w:r w:rsidR="00595F69" w:rsidRPr="0013362A">
        <w:t>945-</w:t>
      </w:r>
      <w:r w:rsidR="004B0438">
        <w:t>94</w:t>
      </w:r>
      <w:r w:rsidR="00595F69" w:rsidRPr="0013362A">
        <w:t>9.</w:t>
      </w:r>
    </w:p>
    <w:p w14:paraId="1A35D03C" w14:textId="77777777" w:rsidR="00595F69" w:rsidRPr="004B0438" w:rsidRDefault="001105D2" w:rsidP="009B5F22">
      <w:pPr>
        <w:widowControl w:val="0"/>
        <w:autoSpaceDE w:val="0"/>
        <w:autoSpaceDN w:val="0"/>
        <w:adjustRightInd w:val="0"/>
        <w:snapToGrid w:val="0"/>
        <w:spacing w:after="240" w:line="360" w:lineRule="auto"/>
        <w:contextualSpacing/>
        <w:outlineLvl w:val="0"/>
      </w:pPr>
      <w:r>
        <w:t>2</w:t>
      </w:r>
      <w:r w:rsidR="002A7CDF">
        <w:t>2</w:t>
      </w:r>
      <w:r w:rsidR="00291B21" w:rsidRPr="00291B21">
        <w:t xml:space="preserve">. </w:t>
      </w:r>
      <w:r w:rsidR="00595F69" w:rsidRPr="00291B21">
        <w:rPr>
          <w:bCs/>
          <w:color w:val="000000"/>
        </w:rPr>
        <w:t xml:space="preserve">Guía para el Manejo de Mordedura de Araña de los Rincones - Loxosceles laeta </w:t>
      </w:r>
    </w:p>
    <w:p w14:paraId="1D824CE4" w14:textId="77777777" w:rsidR="004B0438" w:rsidRPr="004B0438" w:rsidRDefault="00595F69" w:rsidP="009B5F22">
      <w:pPr>
        <w:widowControl w:val="0"/>
        <w:autoSpaceDE w:val="0"/>
        <w:autoSpaceDN w:val="0"/>
        <w:adjustRightInd w:val="0"/>
        <w:snapToGrid w:val="0"/>
        <w:spacing w:line="360" w:lineRule="auto"/>
        <w:contextualSpacing/>
        <w:rPr>
          <w:color w:val="000000"/>
          <w:lang w:val="en-US"/>
        </w:rPr>
      </w:pPr>
      <w:r w:rsidRPr="00186629">
        <w:rPr>
          <w:color w:val="000000"/>
          <w:lang w:val="en-US"/>
        </w:rPr>
        <w:lastRenderedPageBreak/>
        <w:t>Chile, 2016</w:t>
      </w:r>
      <w:r w:rsidR="004B0438">
        <w:rPr>
          <w:color w:val="000000"/>
          <w:lang w:val="en-US"/>
        </w:rPr>
        <w:t xml:space="preserve">. </w:t>
      </w:r>
    </w:p>
    <w:p w14:paraId="2ACC780F" w14:textId="77777777" w:rsidR="004B0438" w:rsidRPr="0075258A" w:rsidRDefault="0013362A" w:rsidP="009B5F22">
      <w:pPr>
        <w:widowControl w:val="0"/>
        <w:autoSpaceDE w:val="0"/>
        <w:autoSpaceDN w:val="0"/>
        <w:adjustRightInd w:val="0"/>
        <w:snapToGrid w:val="0"/>
        <w:spacing w:line="360" w:lineRule="auto"/>
        <w:contextualSpacing/>
      </w:pPr>
      <w:r w:rsidRPr="0013362A">
        <w:rPr>
          <w:lang w:val="en-US"/>
        </w:rPr>
        <w:t>2</w:t>
      </w:r>
      <w:r w:rsidR="002A7CDF">
        <w:rPr>
          <w:lang w:val="en-US"/>
        </w:rPr>
        <w:t>3</w:t>
      </w:r>
      <w:r w:rsidRPr="0013362A">
        <w:rPr>
          <w:lang w:val="en-US"/>
        </w:rPr>
        <w:t xml:space="preserve">. </w:t>
      </w:r>
      <w:r w:rsidR="00595F69" w:rsidRPr="00FA7CC5">
        <w:rPr>
          <w:lang w:val="en-US"/>
        </w:rPr>
        <w:t xml:space="preserve">Canals M, Taucare-Rios A, Brescovit AD, </w:t>
      </w:r>
      <w:r w:rsidR="004B0438">
        <w:rPr>
          <w:lang w:val="en-US"/>
        </w:rPr>
        <w:t xml:space="preserve">et al. </w:t>
      </w:r>
      <w:r w:rsidR="00595F69" w:rsidRPr="00291B21">
        <w:rPr>
          <w:lang w:val="en-US"/>
        </w:rPr>
        <w:t xml:space="preserve">Niche modelling of the Chilean recluse spider </w:t>
      </w:r>
      <w:r w:rsidR="00595F69" w:rsidRPr="004B0438">
        <w:rPr>
          <w:lang w:val="en-US"/>
        </w:rPr>
        <w:t xml:space="preserve">Loxosceles laeta </w:t>
      </w:r>
      <w:r w:rsidR="00595F69" w:rsidRPr="00291B21">
        <w:rPr>
          <w:lang w:val="en-US"/>
        </w:rPr>
        <w:t xml:space="preserve">and araneophagic spitting spider </w:t>
      </w:r>
      <w:r w:rsidR="00595F69" w:rsidRPr="00291B21">
        <w:rPr>
          <w:i/>
          <w:iCs/>
          <w:lang w:val="en-US"/>
        </w:rPr>
        <w:t>Scytodes globula</w:t>
      </w:r>
      <w:r w:rsidR="00595F69" w:rsidRPr="00291B21">
        <w:rPr>
          <w:lang w:val="en-US"/>
        </w:rPr>
        <w:t xml:space="preserve"> and risk for loxoscelism in Chile</w:t>
      </w:r>
      <w:r w:rsidR="004B0438">
        <w:rPr>
          <w:lang w:val="en-US"/>
        </w:rPr>
        <w:t xml:space="preserve">. </w:t>
      </w:r>
      <w:r w:rsidR="00595F69" w:rsidRPr="0075258A">
        <w:t>Med Vet Entomol 2016; 30 (4): 383-</w:t>
      </w:r>
      <w:r w:rsidR="004B0438" w:rsidRPr="0075258A">
        <w:t>3</w:t>
      </w:r>
      <w:r w:rsidR="00595F69" w:rsidRPr="0075258A">
        <w:t xml:space="preserve">91. </w:t>
      </w:r>
    </w:p>
    <w:p w14:paraId="012697E4" w14:textId="77777777" w:rsidR="004B0438" w:rsidRPr="00595F69" w:rsidRDefault="00FF113E" w:rsidP="009B5F22">
      <w:pPr>
        <w:widowControl w:val="0"/>
        <w:autoSpaceDE w:val="0"/>
        <w:autoSpaceDN w:val="0"/>
        <w:adjustRightInd w:val="0"/>
        <w:snapToGrid w:val="0"/>
        <w:spacing w:line="360" w:lineRule="auto"/>
        <w:contextualSpacing/>
        <w:rPr>
          <w:color w:val="000000"/>
        </w:rPr>
      </w:pPr>
      <w:r w:rsidRPr="004B0438">
        <w:t>2</w:t>
      </w:r>
      <w:r w:rsidR="002A7CDF">
        <w:t>4</w:t>
      </w:r>
      <w:r w:rsidR="00291B21" w:rsidRPr="004B0438">
        <w:t xml:space="preserve">. </w:t>
      </w:r>
      <w:r w:rsidR="00595F69" w:rsidRPr="004B0438">
        <w:rPr>
          <w:color w:val="000000"/>
        </w:rPr>
        <w:t xml:space="preserve">Schenone H. </w:t>
      </w:r>
      <w:r w:rsidR="004B0438" w:rsidRPr="004B0438">
        <w:rPr>
          <w:color w:val="000000"/>
        </w:rPr>
        <w:t xml:space="preserve">Loxoscelismo cutáneo de </w:t>
      </w:r>
      <w:r w:rsidR="004B0438">
        <w:rPr>
          <w:color w:val="000000"/>
        </w:rPr>
        <w:t xml:space="preserve">predominio edematoso. </w:t>
      </w:r>
      <w:r w:rsidR="00595F69" w:rsidRPr="00186629">
        <w:rPr>
          <w:color w:val="000000"/>
        </w:rPr>
        <w:t>Bol Chil Parasitol 1998; 53 (3-4): 78-83.</w:t>
      </w:r>
    </w:p>
    <w:p w14:paraId="409DC165" w14:textId="77777777" w:rsidR="004B0438" w:rsidRPr="006725FE" w:rsidRDefault="005E0080" w:rsidP="009B5F22">
      <w:pPr>
        <w:widowControl w:val="0"/>
        <w:autoSpaceDE w:val="0"/>
        <w:autoSpaceDN w:val="0"/>
        <w:adjustRightInd w:val="0"/>
        <w:snapToGrid w:val="0"/>
        <w:spacing w:line="360" w:lineRule="auto"/>
        <w:contextualSpacing/>
      </w:pPr>
      <w:r w:rsidRPr="00595F69">
        <w:rPr>
          <w:color w:val="000000"/>
        </w:rPr>
        <w:t>2</w:t>
      </w:r>
      <w:r w:rsidR="002A7CDF">
        <w:rPr>
          <w:color w:val="000000"/>
        </w:rPr>
        <w:t>5</w:t>
      </w:r>
      <w:r w:rsidRPr="00595F69">
        <w:rPr>
          <w:color w:val="000000"/>
        </w:rPr>
        <w:t xml:space="preserve">. </w:t>
      </w:r>
      <w:r w:rsidR="00595F69">
        <w:t>D</w:t>
      </w:r>
      <w:r w:rsidR="00595F69" w:rsidRPr="00291B21">
        <w:t xml:space="preserve">e la Barra P, Vial V, Labraña Y, Álvarez AM, Seguel H. Loxoscelismo cutáneo predominantemente edematoso: a propósito de un caso. </w:t>
      </w:r>
      <w:r w:rsidR="00595F69" w:rsidRPr="002351B4">
        <w:t>Rev Chil</w:t>
      </w:r>
      <w:r w:rsidR="004B0438">
        <w:t>ena</w:t>
      </w:r>
      <w:r w:rsidR="00595F69" w:rsidRPr="002351B4">
        <w:t xml:space="preserve"> Infectol 2015;</w:t>
      </w:r>
      <w:r w:rsidR="00595F69">
        <w:t xml:space="preserve"> </w:t>
      </w:r>
      <w:r w:rsidR="00595F69" w:rsidRPr="002351B4">
        <w:t>32</w:t>
      </w:r>
      <w:r w:rsidR="00595F69">
        <w:t xml:space="preserve"> </w:t>
      </w:r>
      <w:r w:rsidR="00595F69" w:rsidRPr="002351B4">
        <w:t>(4):</w:t>
      </w:r>
      <w:r w:rsidR="00595F69">
        <w:t xml:space="preserve"> </w:t>
      </w:r>
      <w:r w:rsidR="00595F69" w:rsidRPr="002351B4">
        <w:t>467</w:t>
      </w:r>
      <w:r w:rsidR="006725FE">
        <w:t>-4</w:t>
      </w:r>
      <w:r w:rsidR="00595F69" w:rsidRPr="002351B4">
        <w:t>71.</w:t>
      </w:r>
    </w:p>
    <w:p w14:paraId="7F11290A" w14:textId="77777777" w:rsidR="007373B4" w:rsidRDefault="00291B21" w:rsidP="009B5F22">
      <w:pPr>
        <w:widowControl w:val="0"/>
        <w:autoSpaceDE w:val="0"/>
        <w:autoSpaceDN w:val="0"/>
        <w:adjustRightInd w:val="0"/>
        <w:snapToGrid w:val="0"/>
        <w:spacing w:line="360" w:lineRule="auto"/>
        <w:contextualSpacing/>
      </w:pPr>
      <w:r w:rsidRPr="00291B21">
        <w:fldChar w:fldCharType="end"/>
      </w:r>
      <w:r w:rsidR="00DF5F13">
        <w:rPr>
          <w:color w:val="000000"/>
        </w:rPr>
        <w:t>2</w:t>
      </w:r>
      <w:r w:rsidR="002A7CDF">
        <w:rPr>
          <w:color w:val="000000"/>
        </w:rPr>
        <w:t>6</w:t>
      </w:r>
      <w:r w:rsidRPr="00291B21">
        <w:rPr>
          <w:color w:val="000000"/>
        </w:rPr>
        <w:t xml:space="preserve">. </w:t>
      </w:r>
      <w:r w:rsidR="00595F69" w:rsidRPr="00291B21">
        <w:t xml:space="preserve">Canals </w:t>
      </w:r>
      <w:r w:rsidR="00595F69" w:rsidRPr="006725FE">
        <w:t>M, Solís R. Desarrollo de cohortes y parámetros poblacionales de la araña del rincón Loxosceles laeta.</w:t>
      </w:r>
      <w:r w:rsidR="00595F69" w:rsidRPr="00291B21">
        <w:t xml:space="preserve"> Rev Chil</w:t>
      </w:r>
      <w:r w:rsidR="006725FE">
        <w:t>ena</w:t>
      </w:r>
      <w:r w:rsidR="00595F69" w:rsidRPr="00291B21">
        <w:t xml:space="preserve"> Infectol</w:t>
      </w:r>
      <w:r w:rsidR="00595F69">
        <w:t xml:space="preserve"> </w:t>
      </w:r>
      <w:r w:rsidR="00595F69" w:rsidRPr="00291B21">
        <w:t>2014;</w:t>
      </w:r>
      <w:r w:rsidR="00595F69">
        <w:t xml:space="preserve"> </w:t>
      </w:r>
      <w:r w:rsidR="00595F69" w:rsidRPr="00291B21">
        <w:t>31(5):</w:t>
      </w:r>
      <w:r w:rsidR="00595F69">
        <w:t xml:space="preserve"> </w:t>
      </w:r>
      <w:r w:rsidR="00595F69" w:rsidRPr="00291B21">
        <w:t>555–562.</w:t>
      </w:r>
    </w:p>
    <w:p w14:paraId="506058C5" w14:textId="77777777" w:rsidR="009B5F22" w:rsidRDefault="009B5F22" w:rsidP="0054063E">
      <w:pPr>
        <w:widowControl w:val="0"/>
        <w:autoSpaceDE w:val="0"/>
        <w:autoSpaceDN w:val="0"/>
        <w:adjustRightInd w:val="0"/>
        <w:jc w:val="both"/>
        <w:outlineLvl w:val="0"/>
      </w:pPr>
    </w:p>
    <w:p w14:paraId="1B3A6C63" w14:textId="77777777" w:rsidR="009B5F22" w:rsidRDefault="009B5F22" w:rsidP="0054063E">
      <w:pPr>
        <w:widowControl w:val="0"/>
        <w:autoSpaceDE w:val="0"/>
        <w:autoSpaceDN w:val="0"/>
        <w:adjustRightInd w:val="0"/>
        <w:jc w:val="both"/>
        <w:outlineLvl w:val="0"/>
      </w:pPr>
    </w:p>
    <w:p w14:paraId="2B5CDE3E" w14:textId="77777777" w:rsidR="009B5F22" w:rsidRDefault="009B5F22" w:rsidP="0054063E">
      <w:pPr>
        <w:widowControl w:val="0"/>
        <w:autoSpaceDE w:val="0"/>
        <w:autoSpaceDN w:val="0"/>
        <w:adjustRightInd w:val="0"/>
        <w:jc w:val="both"/>
        <w:outlineLvl w:val="0"/>
        <w:rPr>
          <w:b/>
        </w:rPr>
      </w:pPr>
    </w:p>
    <w:p w14:paraId="24C6C6EB" w14:textId="77777777" w:rsidR="009B5F22" w:rsidRDefault="009B5F22" w:rsidP="0054063E">
      <w:pPr>
        <w:widowControl w:val="0"/>
        <w:autoSpaceDE w:val="0"/>
        <w:autoSpaceDN w:val="0"/>
        <w:adjustRightInd w:val="0"/>
        <w:jc w:val="both"/>
        <w:outlineLvl w:val="0"/>
        <w:rPr>
          <w:b/>
        </w:rPr>
      </w:pPr>
    </w:p>
    <w:p w14:paraId="78C9E967" w14:textId="77777777" w:rsidR="009B5F22" w:rsidRDefault="009B5F22" w:rsidP="0054063E">
      <w:pPr>
        <w:widowControl w:val="0"/>
        <w:autoSpaceDE w:val="0"/>
        <w:autoSpaceDN w:val="0"/>
        <w:adjustRightInd w:val="0"/>
        <w:jc w:val="both"/>
        <w:outlineLvl w:val="0"/>
        <w:rPr>
          <w:b/>
        </w:rPr>
      </w:pPr>
    </w:p>
    <w:p w14:paraId="750C11EC" w14:textId="77777777" w:rsidR="009B5F22" w:rsidRDefault="009B5F22" w:rsidP="0054063E">
      <w:pPr>
        <w:widowControl w:val="0"/>
        <w:autoSpaceDE w:val="0"/>
        <w:autoSpaceDN w:val="0"/>
        <w:adjustRightInd w:val="0"/>
        <w:jc w:val="both"/>
        <w:outlineLvl w:val="0"/>
        <w:rPr>
          <w:b/>
        </w:rPr>
      </w:pPr>
    </w:p>
    <w:p w14:paraId="6B186E29" w14:textId="77777777" w:rsidR="009B5F22" w:rsidRDefault="009B5F22" w:rsidP="0054063E">
      <w:pPr>
        <w:widowControl w:val="0"/>
        <w:autoSpaceDE w:val="0"/>
        <w:autoSpaceDN w:val="0"/>
        <w:adjustRightInd w:val="0"/>
        <w:jc w:val="both"/>
        <w:outlineLvl w:val="0"/>
        <w:rPr>
          <w:b/>
        </w:rPr>
      </w:pPr>
    </w:p>
    <w:p w14:paraId="23471C99" w14:textId="77777777" w:rsidR="009B5F22" w:rsidRDefault="009B5F22" w:rsidP="0054063E">
      <w:pPr>
        <w:widowControl w:val="0"/>
        <w:autoSpaceDE w:val="0"/>
        <w:autoSpaceDN w:val="0"/>
        <w:adjustRightInd w:val="0"/>
        <w:jc w:val="both"/>
        <w:outlineLvl w:val="0"/>
        <w:rPr>
          <w:b/>
        </w:rPr>
      </w:pPr>
    </w:p>
    <w:p w14:paraId="7A20DD3D" w14:textId="77777777" w:rsidR="009B5F22" w:rsidRDefault="009B5F22" w:rsidP="0054063E">
      <w:pPr>
        <w:widowControl w:val="0"/>
        <w:autoSpaceDE w:val="0"/>
        <w:autoSpaceDN w:val="0"/>
        <w:adjustRightInd w:val="0"/>
        <w:jc w:val="both"/>
        <w:outlineLvl w:val="0"/>
        <w:rPr>
          <w:b/>
        </w:rPr>
      </w:pPr>
    </w:p>
    <w:p w14:paraId="59D46E2F" w14:textId="77777777" w:rsidR="009B5F22" w:rsidRDefault="009B5F22" w:rsidP="0054063E">
      <w:pPr>
        <w:widowControl w:val="0"/>
        <w:autoSpaceDE w:val="0"/>
        <w:autoSpaceDN w:val="0"/>
        <w:adjustRightInd w:val="0"/>
        <w:jc w:val="both"/>
        <w:outlineLvl w:val="0"/>
        <w:rPr>
          <w:b/>
        </w:rPr>
      </w:pPr>
    </w:p>
    <w:p w14:paraId="4593F92F" w14:textId="77777777" w:rsidR="00A35125" w:rsidRDefault="00A35125" w:rsidP="0054063E">
      <w:pPr>
        <w:widowControl w:val="0"/>
        <w:autoSpaceDE w:val="0"/>
        <w:autoSpaceDN w:val="0"/>
        <w:adjustRightInd w:val="0"/>
        <w:jc w:val="both"/>
        <w:outlineLvl w:val="0"/>
        <w:rPr>
          <w:b/>
        </w:rPr>
      </w:pPr>
    </w:p>
    <w:p w14:paraId="58CB606E" w14:textId="77777777" w:rsidR="00A35125" w:rsidRDefault="00A35125" w:rsidP="0054063E">
      <w:pPr>
        <w:widowControl w:val="0"/>
        <w:autoSpaceDE w:val="0"/>
        <w:autoSpaceDN w:val="0"/>
        <w:adjustRightInd w:val="0"/>
        <w:jc w:val="both"/>
        <w:outlineLvl w:val="0"/>
        <w:rPr>
          <w:b/>
        </w:rPr>
      </w:pPr>
    </w:p>
    <w:p w14:paraId="0D3F4C6F" w14:textId="77777777" w:rsidR="00A35125" w:rsidRDefault="00A35125" w:rsidP="0054063E">
      <w:pPr>
        <w:widowControl w:val="0"/>
        <w:autoSpaceDE w:val="0"/>
        <w:autoSpaceDN w:val="0"/>
        <w:adjustRightInd w:val="0"/>
        <w:jc w:val="both"/>
        <w:outlineLvl w:val="0"/>
        <w:rPr>
          <w:b/>
        </w:rPr>
      </w:pPr>
    </w:p>
    <w:p w14:paraId="5063E416" w14:textId="77777777" w:rsidR="00A35125" w:rsidRDefault="00A35125" w:rsidP="0054063E">
      <w:pPr>
        <w:widowControl w:val="0"/>
        <w:autoSpaceDE w:val="0"/>
        <w:autoSpaceDN w:val="0"/>
        <w:adjustRightInd w:val="0"/>
        <w:jc w:val="both"/>
        <w:outlineLvl w:val="0"/>
        <w:rPr>
          <w:b/>
        </w:rPr>
      </w:pPr>
    </w:p>
    <w:p w14:paraId="23320ED0" w14:textId="77777777" w:rsidR="00A35125" w:rsidRDefault="00A35125" w:rsidP="0054063E">
      <w:pPr>
        <w:widowControl w:val="0"/>
        <w:autoSpaceDE w:val="0"/>
        <w:autoSpaceDN w:val="0"/>
        <w:adjustRightInd w:val="0"/>
        <w:jc w:val="both"/>
        <w:outlineLvl w:val="0"/>
        <w:rPr>
          <w:b/>
        </w:rPr>
      </w:pPr>
    </w:p>
    <w:p w14:paraId="526F0DD7" w14:textId="77777777" w:rsidR="00A35125" w:rsidRDefault="00A35125" w:rsidP="0054063E">
      <w:pPr>
        <w:widowControl w:val="0"/>
        <w:autoSpaceDE w:val="0"/>
        <w:autoSpaceDN w:val="0"/>
        <w:adjustRightInd w:val="0"/>
        <w:jc w:val="both"/>
        <w:outlineLvl w:val="0"/>
        <w:rPr>
          <w:b/>
        </w:rPr>
      </w:pPr>
    </w:p>
    <w:p w14:paraId="0972C780" w14:textId="77777777" w:rsidR="00A35125" w:rsidRDefault="00A35125" w:rsidP="0054063E">
      <w:pPr>
        <w:widowControl w:val="0"/>
        <w:autoSpaceDE w:val="0"/>
        <w:autoSpaceDN w:val="0"/>
        <w:adjustRightInd w:val="0"/>
        <w:jc w:val="both"/>
        <w:outlineLvl w:val="0"/>
        <w:rPr>
          <w:b/>
        </w:rPr>
      </w:pPr>
    </w:p>
    <w:p w14:paraId="135C3D8A" w14:textId="77777777" w:rsidR="00A35125" w:rsidRDefault="00A35125" w:rsidP="0054063E">
      <w:pPr>
        <w:widowControl w:val="0"/>
        <w:autoSpaceDE w:val="0"/>
        <w:autoSpaceDN w:val="0"/>
        <w:adjustRightInd w:val="0"/>
        <w:jc w:val="both"/>
        <w:outlineLvl w:val="0"/>
        <w:rPr>
          <w:b/>
        </w:rPr>
      </w:pPr>
    </w:p>
    <w:p w14:paraId="54B187E9" w14:textId="77777777" w:rsidR="00A35125" w:rsidRDefault="00A35125" w:rsidP="0054063E">
      <w:pPr>
        <w:widowControl w:val="0"/>
        <w:autoSpaceDE w:val="0"/>
        <w:autoSpaceDN w:val="0"/>
        <w:adjustRightInd w:val="0"/>
        <w:jc w:val="both"/>
        <w:outlineLvl w:val="0"/>
        <w:rPr>
          <w:b/>
        </w:rPr>
      </w:pPr>
    </w:p>
    <w:p w14:paraId="39B7D900" w14:textId="77777777" w:rsidR="00A35125" w:rsidRDefault="00A35125" w:rsidP="0054063E">
      <w:pPr>
        <w:widowControl w:val="0"/>
        <w:autoSpaceDE w:val="0"/>
        <w:autoSpaceDN w:val="0"/>
        <w:adjustRightInd w:val="0"/>
        <w:jc w:val="both"/>
        <w:outlineLvl w:val="0"/>
        <w:rPr>
          <w:b/>
        </w:rPr>
      </w:pPr>
    </w:p>
    <w:p w14:paraId="5D0CA94B" w14:textId="77777777" w:rsidR="00A35125" w:rsidRDefault="00A35125" w:rsidP="0054063E">
      <w:pPr>
        <w:widowControl w:val="0"/>
        <w:autoSpaceDE w:val="0"/>
        <w:autoSpaceDN w:val="0"/>
        <w:adjustRightInd w:val="0"/>
        <w:jc w:val="both"/>
        <w:outlineLvl w:val="0"/>
        <w:rPr>
          <w:b/>
        </w:rPr>
      </w:pPr>
    </w:p>
    <w:p w14:paraId="49C78959" w14:textId="77777777" w:rsidR="00A35125" w:rsidRDefault="00A35125" w:rsidP="0054063E">
      <w:pPr>
        <w:widowControl w:val="0"/>
        <w:autoSpaceDE w:val="0"/>
        <w:autoSpaceDN w:val="0"/>
        <w:adjustRightInd w:val="0"/>
        <w:jc w:val="both"/>
        <w:outlineLvl w:val="0"/>
        <w:rPr>
          <w:b/>
        </w:rPr>
      </w:pPr>
    </w:p>
    <w:p w14:paraId="06ECF2C7" w14:textId="77777777" w:rsidR="00A35125" w:rsidRDefault="00A35125" w:rsidP="0054063E">
      <w:pPr>
        <w:widowControl w:val="0"/>
        <w:autoSpaceDE w:val="0"/>
        <w:autoSpaceDN w:val="0"/>
        <w:adjustRightInd w:val="0"/>
        <w:jc w:val="both"/>
        <w:outlineLvl w:val="0"/>
        <w:rPr>
          <w:b/>
        </w:rPr>
      </w:pPr>
    </w:p>
    <w:p w14:paraId="4B2A6ECB" w14:textId="77777777" w:rsidR="00A35125" w:rsidRDefault="00A35125" w:rsidP="0054063E">
      <w:pPr>
        <w:widowControl w:val="0"/>
        <w:autoSpaceDE w:val="0"/>
        <w:autoSpaceDN w:val="0"/>
        <w:adjustRightInd w:val="0"/>
        <w:jc w:val="both"/>
        <w:outlineLvl w:val="0"/>
        <w:rPr>
          <w:b/>
        </w:rPr>
      </w:pPr>
    </w:p>
    <w:p w14:paraId="35E94BEC" w14:textId="77777777" w:rsidR="00A35125" w:rsidRDefault="00A35125" w:rsidP="0054063E">
      <w:pPr>
        <w:widowControl w:val="0"/>
        <w:autoSpaceDE w:val="0"/>
        <w:autoSpaceDN w:val="0"/>
        <w:adjustRightInd w:val="0"/>
        <w:jc w:val="both"/>
        <w:outlineLvl w:val="0"/>
        <w:rPr>
          <w:b/>
        </w:rPr>
      </w:pPr>
    </w:p>
    <w:p w14:paraId="52125EF8" w14:textId="77777777" w:rsidR="00A35125" w:rsidRDefault="00A35125" w:rsidP="0054063E">
      <w:pPr>
        <w:widowControl w:val="0"/>
        <w:autoSpaceDE w:val="0"/>
        <w:autoSpaceDN w:val="0"/>
        <w:adjustRightInd w:val="0"/>
        <w:jc w:val="both"/>
        <w:outlineLvl w:val="0"/>
        <w:rPr>
          <w:b/>
        </w:rPr>
      </w:pPr>
    </w:p>
    <w:p w14:paraId="25D23FD0" w14:textId="77777777" w:rsidR="00A35125" w:rsidRDefault="00A35125" w:rsidP="0054063E">
      <w:pPr>
        <w:widowControl w:val="0"/>
        <w:autoSpaceDE w:val="0"/>
        <w:autoSpaceDN w:val="0"/>
        <w:adjustRightInd w:val="0"/>
        <w:jc w:val="both"/>
        <w:outlineLvl w:val="0"/>
        <w:rPr>
          <w:b/>
        </w:rPr>
      </w:pPr>
    </w:p>
    <w:p w14:paraId="0DE6E1BC" w14:textId="77777777" w:rsidR="00A35125" w:rsidRDefault="00A35125" w:rsidP="0054063E">
      <w:pPr>
        <w:widowControl w:val="0"/>
        <w:autoSpaceDE w:val="0"/>
        <w:autoSpaceDN w:val="0"/>
        <w:adjustRightInd w:val="0"/>
        <w:jc w:val="both"/>
        <w:outlineLvl w:val="0"/>
        <w:rPr>
          <w:b/>
        </w:rPr>
      </w:pPr>
    </w:p>
    <w:p w14:paraId="6D6EB499" w14:textId="77777777" w:rsidR="009B5F22" w:rsidRDefault="009B5F22" w:rsidP="0054063E">
      <w:pPr>
        <w:widowControl w:val="0"/>
        <w:autoSpaceDE w:val="0"/>
        <w:autoSpaceDN w:val="0"/>
        <w:adjustRightInd w:val="0"/>
        <w:jc w:val="both"/>
        <w:outlineLvl w:val="0"/>
        <w:rPr>
          <w:b/>
        </w:rPr>
      </w:pPr>
    </w:p>
    <w:p w14:paraId="4B13407A" w14:textId="77777777" w:rsidR="009B5F22" w:rsidRDefault="009B5F22" w:rsidP="0054063E">
      <w:pPr>
        <w:widowControl w:val="0"/>
        <w:autoSpaceDE w:val="0"/>
        <w:autoSpaceDN w:val="0"/>
        <w:adjustRightInd w:val="0"/>
        <w:jc w:val="both"/>
        <w:outlineLvl w:val="0"/>
        <w:rPr>
          <w:b/>
        </w:rPr>
      </w:pPr>
    </w:p>
    <w:p w14:paraId="3C9D5B91" w14:textId="77777777" w:rsidR="00AC4438" w:rsidRDefault="00AC4438" w:rsidP="0054063E">
      <w:pPr>
        <w:widowControl w:val="0"/>
        <w:autoSpaceDE w:val="0"/>
        <w:autoSpaceDN w:val="0"/>
        <w:adjustRightInd w:val="0"/>
        <w:jc w:val="both"/>
        <w:outlineLvl w:val="0"/>
        <w:rPr>
          <w:b/>
        </w:rPr>
      </w:pPr>
      <w:r w:rsidRPr="000C21BA">
        <w:rPr>
          <w:b/>
        </w:rPr>
        <w:lastRenderedPageBreak/>
        <w:t>TABLAS</w:t>
      </w:r>
    </w:p>
    <w:p w14:paraId="7BCE9BF2" w14:textId="77777777" w:rsidR="0054063E" w:rsidRPr="000C21BA" w:rsidRDefault="0054063E" w:rsidP="0054063E">
      <w:pPr>
        <w:widowControl w:val="0"/>
        <w:autoSpaceDE w:val="0"/>
        <w:autoSpaceDN w:val="0"/>
        <w:adjustRightInd w:val="0"/>
        <w:jc w:val="both"/>
        <w:outlineLvl w:val="0"/>
        <w:rPr>
          <w:b/>
        </w:rPr>
      </w:pPr>
    </w:p>
    <w:p w14:paraId="40417DB0" w14:textId="77777777" w:rsidR="002321FF" w:rsidRPr="007B0088" w:rsidRDefault="002321FF" w:rsidP="0054063E">
      <w:pPr>
        <w:widowControl w:val="0"/>
        <w:autoSpaceDE w:val="0"/>
        <w:autoSpaceDN w:val="0"/>
        <w:adjustRightInd w:val="0"/>
        <w:jc w:val="both"/>
        <w:outlineLvl w:val="0"/>
        <w:rPr>
          <w:b/>
          <w:u w:val="single"/>
        </w:rPr>
      </w:pPr>
      <w:r w:rsidRPr="000C21BA">
        <w:rPr>
          <w:b/>
        </w:rPr>
        <w:t xml:space="preserve">Tabla 1.  </w:t>
      </w:r>
      <w:r w:rsidR="007B0088" w:rsidRPr="007B0088">
        <w:rPr>
          <w:b/>
          <w:u w:val="single"/>
        </w:rPr>
        <w:t>Características demográficas de la muestra</w:t>
      </w:r>
    </w:p>
    <w:tbl>
      <w:tblPr>
        <w:tblStyle w:val="Tablaconcuadrcula"/>
        <w:tblpPr w:leftFromText="141" w:rightFromText="141" w:vertAnchor="text" w:tblpY="397"/>
        <w:tblW w:w="0" w:type="auto"/>
        <w:tblLook w:val="00A0" w:firstRow="1" w:lastRow="0" w:firstColumn="1" w:lastColumn="0" w:noHBand="0" w:noVBand="0"/>
      </w:tblPr>
      <w:tblGrid>
        <w:gridCol w:w="3652"/>
        <w:gridCol w:w="1559"/>
      </w:tblGrid>
      <w:tr w:rsidR="002321FF" w14:paraId="566A30DC" w14:textId="77777777" w:rsidTr="00291B21">
        <w:tc>
          <w:tcPr>
            <w:tcW w:w="3652" w:type="dxa"/>
          </w:tcPr>
          <w:p w14:paraId="2B7F9CA2" w14:textId="77777777" w:rsidR="002321FF" w:rsidRDefault="002321FF" w:rsidP="00291B21">
            <w:pPr>
              <w:widowControl w:val="0"/>
              <w:autoSpaceDE w:val="0"/>
              <w:autoSpaceDN w:val="0"/>
              <w:adjustRightInd w:val="0"/>
            </w:pPr>
            <w:r>
              <w:t>Características de la muestra</w:t>
            </w:r>
          </w:p>
        </w:tc>
        <w:tc>
          <w:tcPr>
            <w:tcW w:w="1559" w:type="dxa"/>
          </w:tcPr>
          <w:p w14:paraId="59A8C891" w14:textId="77777777" w:rsidR="002321FF" w:rsidRDefault="002321FF" w:rsidP="00291B21">
            <w:pPr>
              <w:widowControl w:val="0"/>
              <w:autoSpaceDE w:val="0"/>
              <w:autoSpaceDN w:val="0"/>
              <w:adjustRightInd w:val="0"/>
            </w:pPr>
            <w:r>
              <w:t>Muestra total</w:t>
            </w:r>
          </w:p>
          <w:p w14:paraId="3B235B16" w14:textId="77777777" w:rsidR="002321FF" w:rsidRDefault="002321FF" w:rsidP="00291B21">
            <w:pPr>
              <w:widowControl w:val="0"/>
              <w:autoSpaceDE w:val="0"/>
              <w:autoSpaceDN w:val="0"/>
              <w:adjustRightInd w:val="0"/>
            </w:pPr>
            <w:r>
              <w:t>N=200</w:t>
            </w:r>
          </w:p>
        </w:tc>
      </w:tr>
      <w:tr w:rsidR="002321FF" w14:paraId="343570F4" w14:textId="77777777" w:rsidTr="00291B21">
        <w:tc>
          <w:tcPr>
            <w:tcW w:w="3652" w:type="dxa"/>
          </w:tcPr>
          <w:p w14:paraId="42E147E8" w14:textId="77777777" w:rsidR="002321FF" w:rsidRDefault="002321FF" w:rsidP="00291B21">
            <w:pPr>
              <w:widowControl w:val="0"/>
              <w:autoSpaceDE w:val="0"/>
              <w:autoSpaceDN w:val="0"/>
              <w:adjustRightInd w:val="0"/>
            </w:pPr>
            <w:r>
              <w:t>Edad</w:t>
            </w:r>
            <w:r w:rsidR="00050A2D">
              <w:t>:</w:t>
            </w:r>
            <w:r>
              <w:t xml:space="preserve">                       </w:t>
            </w:r>
            <w:r w:rsidR="00050A2D">
              <w:t xml:space="preserve">   </w:t>
            </w:r>
            <w:r w:rsidR="00C360B7">
              <w:t>n (%)</w:t>
            </w:r>
            <w:r w:rsidR="00050A2D">
              <w:t xml:space="preserve">    </w:t>
            </w:r>
          </w:p>
          <w:p w14:paraId="57905CE8" w14:textId="77777777" w:rsidR="002321FF" w:rsidRDefault="002321FF" w:rsidP="00291B21">
            <w:pPr>
              <w:widowControl w:val="0"/>
              <w:autoSpaceDE w:val="0"/>
              <w:autoSpaceDN w:val="0"/>
              <w:adjustRightInd w:val="0"/>
            </w:pPr>
            <w:r>
              <w:t xml:space="preserve">Adultos                       </w:t>
            </w:r>
          </w:p>
          <w:p w14:paraId="58491103" w14:textId="77777777" w:rsidR="002321FF" w:rsidRDefault="002321FF" w:rsidP="00291B21">
            <w:pPr>
              <w:widowControl w:val="0"/>
              <w:autoSpaceDE w:val="0"/>
              <w:autoSpaceDN w:val="0"/>
              <w:adjustRightInd w:val="0"/>
            </w:pPr>
            <w:r>
              <w:t xml:space="preserve">Niños (&lt;15 años)                          </w:t>
            </w:r>
          </w:p>
        </w:tc>
        <w:tc>
          <w:tcPr>
            <w:tcW w:w="1559" w:type="dxa"/>
          </w:tcPr>
          <w:p w14:paraId="061E8D0A" w14:textId="77777777" w:rsidR="00C360B7" w:rsidRDefault="00C360B7" w:rsidP="00291B21">
            <w:pPr>
              <w:widowControl w:val="0"/>
              <w:autoSpaceDE w:val="0"/>
              <w:autoSpaceDN w:val="0"/>
              <w:adjustRightInd w:val="0"/>
            </w:pPr>
          </w:p>
          <w:p w14:paraId="5D157027" w14:textId="77777777" w:rsidR="002321FF" w:rsidRDefault="002321FF" w:rsidP="00291B21">
            <w:pPr>
              <w:widowControl w:val="0"/>
              <w:autoSpaceDE w:val="0"/>
              <w:autoSpaceDN w:val="0"/>
              <w:adjustRightInd w:val="0"/>
            </w:pPr>
            <w:r>
              <w:t>187 (93,5)</w:t>
            </w:r>
          </w:p>
          <w:p w14:paraId="1A7C78DD" w14:textId="77777777" w:rsidR="002321FF" w:rsidRDefault="002321FF" w:rsidP="00291B21">
            <w:pPr>
              <w:widowControl w:val="0"/>
              <w:autoSpaceDE w:val="0"/>
              <w:autoSpaceDN w:val="0"/>
              <w:adjustRightInd w:val="0"/>
            </w:pPr>
            <w:r>
              <w:t>13 (6,5)</w:t>
            </w:r>
          </w:p>
        </w:tc>
      </w:tr>
      <w:tr w:rsidR="002321FF" w14:paraId="58F1CF31" w14:textId="77777777" w:rsidTr="00291B21">
        <w:tc>
          <w:tcPr>
            <w:tcW w:w="3652" w:type="dxa"/>
          </w:tcPr>
          <w:p w14:paraId="013B231A" w14:textId="77777777" w:rsidR="002321FF" w:rsidRDefault="002321FF" w:rsidP="00291B21">
            <w:pPr>
              <w:widowControl w:val="0"/>
              <w:autoSpaceDE w:val="0"/>
              <w:autoSpaceDN w:val="0"/>
              <w:adjustRightInd w:val="0"/>
            </w:pPr>
            <w:r>
              <w:t>Sexo</w:t>
            </w:r>
            <w:r w:rsidR="00050A2D">
              <w:t xml:space="preserve">:                </w:t>
            </w:r>
            <w:r>
              <w:t xml:space="preserve">           n</w:t>
            </w:r>
            <w:r w:rsidR="00C360B7">
              <w:t xml:space="preserve"> </w:t>
            </w:r>
            <w:r>
              <w:t>(%)</w:t>
            </w:r>
          </w:p>
          <w:p w14:paraId="54BE437B" w14:textId="77777777" w:rsidR="00050A2D" w:rsidRDefault="00050A2D" w:rsidP="00291B21">
            <w:pPr>
              <w:widowControl w:val="0"/>
              <w:autoSpaceDE w:val="0"/>
              <w:autoSpaceDN w:val="0"/>
              <w:adjustRightInd w:val="0"/>
            </w:pPr>
            <w:r>
              <w:t>Femenino</w:t>
            </w:r>
          </w:p>
          <w:p w14:paraId="222FB7E1" w14:textId="77777777" w:rsidR="00050A2D" w:rsidRDefault="00050A2D" w:rsidP="00291B21">
            <w:pPr>
              <w:widowControl w:val="0"/>
              <w:autoSpaceDE w:val="0"/>
              <w:autoSpaceDN w:val="0"/>
              <w:adjustRightInd w:val="0"/>
            </w:pPr>
            <w:proofErr w:type="spellStart"/>
            <w:r>
              <w:t>Maculino</w:t>
            </w:r>
            <w:proofErr w:type="spellEnd"/>
          </w:p>
        </w:tc>
        <w:tc>
          <w:tcPr>
            <w:tcW w:w="1559" w:type="dxa"/>
          </w:tcPr>
          <w:p w14:paraId="1BADEACA" w14:textId="77777777" w:rsidR="00050A2D" w:rsidRDefault="00050A2D" w:rsidP="00291B21">
            <w:pPr>
              <w:widowControl w:val="0"/>
              <w:autoSpaceDE w:val="0"/>
              <w:autoSpaceDN w:val="0"/>
              <w:adjustRightInd w:val="0"/>
            </w:pPr>
          </w:p>
          <w:p w14:paraId="7A14F5C3" w14:textId="77777777" w:rsidR="002321FF" w:rsidRDefault="002321FF" w:rsidP="00291B21">
            <w:pPr>
              <w:widowControl w:val="0"/>
              <w:autoSpaceDE w:val="0"/>
              <w:autoSpaceDN w:val="0"/>
              <w:adjustRightInd w:val="0"/>
            </w:pPr>
            <w:r>
              <w:t>111 (55,5)</w:t>
            </w:r>
          </w:p>
          <w:p w14:paraId="11252464" w14:textId="77777777" w:rsidR="00050A2D" w:rsidRDefault="00050A2D" w:rsidP="00291B21">
            <w:pPr>
              <w:widowControl w:val="0"/>
              <w:autoSpaceDE w:val="0"/>
              <w:autoSpaceDN w:val="0"/>
              <w:adjustRightInd w:val="0"/>
            </w:pPr>
            <w:r>
              <w:t>89 (44,5)</w:t>
            </w:r>
          </w:p>
        </w:tc>
      </w:tr>
      <w:tr w:rsidR="002321FF" w14:paraId="1BE97FE5" w14:textId="77777777" w:rsidTr="00291B21">
        <w:tc>
          <w:tcPr>
            <w:tcW w:w="3652" w:type="dxa"/>
          </w:tcPr>
          <w:p w14:paraId="4FA673DA" w14:textId="77777777" w:rsidR="002321FF" w:rsidRDefault="00050A2D" w:rsidP="00291B21">
            <w:pPr>
              <w:widowControl w:val="0"/>
              <w:autoSpaceDE w:val="0"/>
              <w:autoSpaceDN w:val="0"/>
              <w:adjustRightInd w:val="0"/>
            </w:pPr>
            <w:r>
              <w:t xml:space="preserve">Tipo </w:t>
            </w:r>
            <w:proofErr w:type="spellStart"/>
            <w:r w:rsidR="002321FF">
              <w:t>Loxo</w:t>
            </w:r>
            <w:r w:rsidR="007B0088">
              <w:t>s</w:t>
            </w:r>
            <w:r w:rsidR="002321FF">
              <w:t>celismo</w:t>
            </w:r>
            <w:proofErr w:type="spellEnd"/>
            <w:r>
              <w:t>:</w:t>
            </w:r>
            <w:r w:rsidR="002321FF">
              <w:t xml:space="preserve">      n</w:t>
            </w:r>
            <w:r w:rsidR="00C360B7">
              <w:t xml:space="preserve"> </w:t>
            </w:r>
            <w:r w:rsidR="002321FF">
              <w:t>(%)</w:t>
            </w:r>
          </w:p>
          <w:p w14:paraId="3FB73EFF" w14:textId="77777777" w:rsidR="002321FF" w:rsidRDefault="002321FF" w:rsidP="00291B21">
            <w:pPr>
              <w:widowControl w:val="0"/>
              <w:autoSpaceDE w:val="0"/>
              <w:autoSpaceDN w:val="0"/>
              <w:adjustRightInd w:val="0"/>
            </w:pPr>
            <w:r>
              <w:t>Cutáneo clásico</w:t>
            </w:r>
          </w:p>
          <w:p w14:paraId="73F89D71" w14:textId="77777777" w:rsidR="002321FF" w:rsidRDefault="002321FF" w:rsidP="00291B21">
            <w:pPr>
              <w:widowControl w:val="0"/>
              <w:autoSpaceDE w:val="0"/>
              <w:autoSpaceDN w:val="0"/>
              <w:adjustRightInd w:val="0"/>
            </w:pPr>
            <w:r>
              <w:t>Cutáneo edematoso</w:t>
            </w:r>
          </w:p>
          <w:p w14:paraId="23BCEBF8" w14:textId="77777777" w:rsidR="002321FF" w:rsidRDefault="002321FF" w:rsidP="00291B21">
            <w:pPr>
              <w:widowControl w:val="0"/>
              <w:autoSpaceDE w:val="0"/>
              <w:autoSpaceDN w:val="0"/>
              <w:adjustRightInd w:val="0"/>
            </w:pPr>
            <w:r>
              <w:t>Cutáneo visceral</w:t>
            </w:r>
          </w:p>
        </w:tc>
        <w:tc>
          <w:tcPr>
            <w:tcW w:w="1559" w:type="dxa"/>
          </w:tcPr>
          <w:p w14:paraId="21B53C92" w14:textId="77777777" w:rsidR="002321FF" w:rsidRDefault="002321FF" w:rsidP="00291B21">
            <w:pPr>
              <w:widowControl w:val="0"/>
              <w:autoSpaceDE w:val="0"/>
              <w:autoSpaceDN w:val="0"/>
              <w:adjustRightInd w:val="0"/>
            </w:pPr>
          </w:p>
          <w:p w14:paraId="40E17EB6" w14:textId="77777777" w:rsidR="002321FF" w:rsidRDefault="002321FF" w:rsidP="00291B21">
            <w:pPr>
              <w:widowControl w:val="0"/>
              <w:autoSpaceDE w:val="0"/>
              <w:autoSpaceDN w:val="0"/>
              <w:adjustRightInd w:val="0"/>
            </w:pPr>
            <w:r>
              <w:t>179 (89,5)</w:t>
            </w:r>
          </w:p>
          <w:p w14:paraId="25C6E582" w14:textId="77777777" w:rsidR="002321FF" w:rsidRDefault="002321FF" w:rsidP="00291B21">
            <w:pPr>
              <w:widowControl w:val="0"/>
              <w:autoSpaceDE w:val="0"/>
              <w:autoSpaceDN w:val="0"/>
              <w:adjustRightInd w:val="0"/>
            </w:pPr>
            <w:r>
              <w:t>10 (5)</w:t>
            </w:r>
          </w:p>
          <w:p w14:paraId="5A5F7A73" w14:textId="77777777" w:rsidR="002321FF" w:rsidRDefault="002321FF" w:rsidP="00291B21">
            <w:pPr>
              <w:widowControl w:val="0"/>
              <w:autoSpaceDE w:val="0"/>
              <w:autoSpaceDN w:val="0"/>
              <w:adjustRightInd w:val="0"/>
            </w:pPr>
            <w:r>
              <w:t>11 (5,5)</w:t>
            </w:r>
          </w:p>
        </w:tc>
      </w:tr>
      <w:tr w:rsidR="002321FF" w14:paraId="0DC1F9C8" w14:textId="77777777" w:rsidTr="00291B21">
        <w:trPr>
          <w:trHeight w:val="3710"/>
        </w:trPr>
        <w:tc>
          <w:tcPr>
            <w:tcW w:w="3652" w:type="dxa"/>
            <w:tcBorders>
              <w:bottom w:val="single" w:sz="4" w:space="0" w:color="000000" w:themeColor="text1"/>
            </w:tcBorders>
          </w:tcPr>
          <w:p w14:paraId="67DC402B" w14:textId="77777777" w:rsidR="002321FF" w:rsidRDefault="002321FF" w:rsidP="00291B21">
            <w:pPr>
              <w:widowControl w:val="0"/>
              <w:autoSpaceDE w:val="0"/>
              <w:autoSpaceDN w:val="0"/>
              <w:adjustRightInd w:val="0"/>
            </w:pPr>
            <w:r>
              <w:t xml:space="preserve">Mes del año:              </w:t>
            </w:r>
            <w:r w:rsidR="00050A2D">
              <w:t xml:space="preserve">  </w:t>
            </w:r>
            <w:r>
              <w:t>n</w:t>
            </w:r>
            <w:r w:rsidR="00C360B7">
              <w:t xml:space="preserve"> </w:t>
            </w:r>
            <w:r>
              <w:t>(%)</w:t>
            </w:r>
          </w:p>
          <w:p w14:paraId="07969282" w14:textId="77777777" w:rsidR="002321FF" w:rsidRPr="003F799E" w:rsidRDefault="002321FF" w:rsidP="00291B21">
            <w:pPr>
              <w:widowControl w:val="0"/>
              <w:autoSpaceDE w:val="0"/>
              <w:autoSpaceDN w:val="0"/>
              <w:adjustRightInd w:val="0"/>
            </w:pPr>
            <w:r w:rsidRPr="003F799E">
              <w:t>Enero</w:t>
            </w:r>
          </w:p>
          <w:p w14:paraId="367F3362" w14:textId="77777777" w:rsidR="002321FF" w:rsidRPr="003F799E" w:rsidRDefault="002321FF" w:rsidP="00291B21">
            <w:pPr>
              <w:widowControl w:val="0"/>
              <w:autoSpaceDE w:val="0"/>
              <w:autoSpaceDN w:val="0"/>
              <w:adjustRightInd w:val="0"/>
            </w:pPr>
            <w:r w:rsidRPr="003F799E">
              <w:t>Febrero</w:t>
            </w:r>
          </w:p>
          <w:p w14:paraId="48E30C3F" w14:textId="77777777" w:rsidR="002321FF" w:rsidRPr="003F799E" w:rsidRDefault="002321FF" w:rsidP="00291B21">
            <w:pPr>
              <w:widowControl w:val="0"/>
              <w:autoSpaceDE w:val="0"/>
              <w:autoSpaceDN w:val="0"/>
              <w:adjustRightInd w:val="0"/>
            </w:pPr>
            <w:r w:rsidRPr="003F799E">
              <w:t>Marzo</w:t>
            </w:r>
          </w:p>
          <w:p w14:paraId="495997F7" w14:textId="77777777" w:rsidR="002321FF" w:rsidRPr="003F799E" w:rsidRDefault="002321FF" w:rsidP="00291B21">
            <w:pPr>
              <w:widowControl w:val="0"/>
              <w:autoSpaceDE w:val="0"/>
              <w:autoSpaceDN w:val="0"/>
              <w:adjustRightInd w:val="0"/>
            </w:pPr>
            <w:r w:rsidRPr="003F799E">
              <w:t>Abril</w:t>
            </w:r>
          </w:p>
          <w:p w14:paraId="0D27B8B9" w14:textId="77777777" w:rsidR="002321FF" w:rsidRPr="003F799E" w:rsidRDefault="002321FF" w:rsidP="00291B21">
            <w:pPr>
              <w:widowControl w:val="0"/>
              <w:autoSpaceDE w:val="0"/>
              <w:autoSpaceDN w:val="0"/>
              <w:adjustRightInd w:val="0"/>
            </w:pPr>
            <w:r w:rsidRPr="003F799E">
              <w:t>Mayo</w:t>
            </w:r>
          </w:p>
          <w:p w14:paraId="47E64A74" w14:textId="77777777" w:rsidR="002321FF" w:rsidRPr="003F799E" w:rsidRDefault="002321FF" w:rsidP="00291B21">
            <w:pPr>
              <w:widowControl w:val="0"/>
              <w:autoSpaceDE w:val="0"/>
              <w:autoSpaceDN w:val="0"/>
              <w:adjustRightInd w:val="0"/>
            </w:pPr>
            <w:r w:rsidRPr="003F799E">
              <w:t>Junio</w:t>
            </w:r>
          </w:p>
          <w:p w14:paraId="68C31549" w14:textId="77777777" w:rsidR="002321FF" w:rsidRPr="003F799E" w:rsidRDefault="002321FF" w:rsidP="00291B21">
            <w:pPr>
              <w:widowControl w:val="0"/>
              <w:autoSpaceDE w:val="0"/>
              <w:autoSpaceDN w:val="0"/>
              <w:adjustRightInd w:val="0"/>
            </w:pPr>
            <w:r w:rsidRPr="003F799E">
              <w:t>Julio</w:t>
            </w:r>
          </w:p>
          <w:p w14:paraId="1F1486DC" w14:textId="77777777" w:rsidR="002321FF" w:rsidRPr="003F799E" w:rsidRDefault="002321FF" w:rsidP="00291B21">
            <w:pPr>
              <w:widowControl w:val="0"/>
              <w:autoSpaceDE w:val="0"/>
              <w:autoSpaceDN w:val="0"/>
              <w:adjustRightInd w:val="0"/>
            </w:pPr>
            <w:r w:rsidRPr="003F799E">
              <w:t>Agosto</w:t>
            </w:r>
          </w:p>
          <w:p w14:paraId="71866AA1" w14:textId="77777777" w:rsidR="002321FF" w:rsidRPr="003F799E" w:rsidRDefault="002321FF" w:rsidP="00291B21">
            <w:pPr>
              <w:widowControl w:val="0"/>
              <w:autoSpaceDE w:val="0"/>
              <w:autoSpaceDN w:val="0"/>
              <w:adjustRightInd w:val="0"/>
            </w:pPr>
            <w:r w:rsidRPr="003F799E">
              <w:t>Septiembre</w:t>
            </w:r>
          </w:p>
          <w:p w14:paraId="4CB591FB" w14:textId="77777777" w:rsidR="002321FF" w:rsidRPr="003F799E" w:rsidRDefault="002321FF" w:rsidP="00291B21">
            <w:pPr>
              <w:widowControl w:val="0"/>
              <w:autoSpaceDE w:val="0"/>
              <w:autoSpaceDN w:val="0"/>
              <w:adjustRightInd w:val="0"/>
            </w:pPr>
            <w:r w:rsidRPr="003F799E">
              <w:t>Octubre</w:t>
            </w:r>
          </w:p>
          <w:p w14:paraId="6CAE2ECF" w14:textId="77777777" w:rsidR="002321FF" w:rsidRPr="003F799E" w:rsidRDefault="002321FF" w:rsidP="00291B21">
            <w:pPr>
              <w:widowControl w:val="0"/>
              <w:autoSpaceDE w:val="0"/>
              <w:autoSpaceDN w:val="0"/>
              <w:adjustRightInd w:val="0"/>
            </w:pPr>
            <w:r w:rsidRPr="003F799E">
              <w:t>Noviembre</w:t>
            </w:r>
          </w:p>
          <w:p w14:paraId="7146B93A" w14:textId="77777777" w:rsidR="002321FF" w:rsidRDefault="002321FF" w:rsidP="00291B21">
            <w:pPr>
              <w:widowControl w:val="0"/>
              <w:autoSpaceDE w:val="0"/>
              <w:autoSpaceDN w:val="0"/>
              <w:adjustRightInd w:val="0"/>
            </w:pPr>
            <w:r w:rsidRPr="003F799E">
              <w:t>Diciembre</w:t>
            </w:r>
          </w:p>
        </w:tc>
        <w:tc>
          <w:tcPr>
            <w:tcW w:w="1559" w:type="dxa"/>
            <w:tcBorders>
              <w:bottom w:val="single" w:sz="4" w:space="0" w:color="000000" w:themeColor="text1"/>
            </w:tcBorders>
          </w:tcPr>
          <w:p w14:paraId="413CD3FE" w14:textId="77777777" w:rsidR="002321FF" w:rsidRDefault="002321FF" w:rsidP="00291B21">
            <w:pPr>
              <w:widowControl w:val="0"/>
              <w:autoSpaceDE w:val="0"/>
              <w:autoSpaceDN w:val="0"/>
              <w:adjustRightInd w:val="0"/>
            </w:pPr>
          </w:p>
          <w:p w14:paraId="559D7CBB" w14:textId="77777777" w:rsidR="002321FF" w:rsidRPr="003F799E" w:rsidRDefault="002321FF" w:rsidP="00291B21">
            <w:pPr>
              <w:widowControl w:val="0"/>
              <w:autoSpaceDE w:val="0"/>
              <w:autoSpaceDN w:val="0"/>
              <w:adjustRightInd w:val="0"/>
            </w:pPr>
            <w:r w:rsidRPr="003F799E">
              <w:t>36</w:t>
            </w:r>
            <w:r>
              <w:t xml:space="preserve"> (18)</w:t>
            </w:r>
          </w:p>
          <w:p w14:paraId="15C6FA63" w14:textId="77777777" w:rsidR="002321FF" w:rsidRPr="003F799E" w:rsidRDefault="002321FF" w:rsidP="00291B21">
            <w:pPr>
              <w:widowControl w:val="0"/>
              <w:autoSpaceDE w:val="0"/>
              <w:autoSpaceDN w:val="0"/>
              <w:adjustRightInd w:val="0"/>
            </w:pPr>
            <w:r w:rsidRPr="003F799E">
              <w:t>24</w:t>
            </w:r>
            <w:r>
              <w:t xml:space="preserve"> (12)</w:t>
            </w:r>
          </w:p>
          <w:p w14:paraId="0D806363" w14:textId="77777777" w:rsidR="002321FF" w:rsidRPr="003F799E" w:rsidRDefault="002321FF" w:rsidP="00291B21">
            <w:pPr>
              <w:widowControl w:val="0"/>
              <w:autoSpaceDE w:val="0"/>
              <w:autoSpaceDN w:val="0"/>
              <w:adjustRightInd w:val="0"/>
            </w:pPr>
            <w:r w:rsidRPr="003F799E">
              <w:t>20</w:t>
            </w:r>
            <w:r>
              <w:t xml:space="preserve"> (10)</w:t>
            </w:r>
          </w:p>
          <w:p w14:paraId="11718204" w14:textId="77777777" w:rsidR="002321FF" w:rsidRPr="003F799E" w:rsidRDefault="002321FF" w:rsidP="00291B21">
            <w:pPr>
              <w:widowControl w:val="0"/>
              <w:autoSpaceDE w:val="0"/>
              <w:autoSpaceDN w:val="0"/>
              <w:adjustRightInd w:val="0"/>
            </w:pPr>
            <w:r w:rsidRPr="003F799E">
              <w:t>16</w:t>
            </w:r>
            <w:r>
              <w:t xml:space="preserve"> (8)</w:t>
            </w:r>
          </w:p>
          <w:p w14:paraId="4A959E02" w14:textId="77777777" w:rsidR="002321FF" w:rsidRPr="003F799E" w:rsidRDefault="002321FF" w:rsidP="00291B21">
            <w:pPr>
              <w:widowControl w:val="0"/>
              <w:autoSpaceDE w:val="0"/>
              <w:autoSpaceDN w:val="0"/>
              <w:adjustRightInd w:val="0"/>
            </w:pPr>
            <w:r w:rsidRPr="003F799E">
              <w:t>4</w:t>
            </w:r>
            <w:r>
              <w:t xml:space="preserve"> (2)</w:t>
            </w:r>
          </w:p>
          <w:p w14:paraId="68DB824C" w14:textId="77777777" w:rsidR="002321FF" w:rsidRPr="003F799E" w:rsidRDefault="002321FF" w:rsidP="00291B21">
            <w:pPr>
              <w:widowControl w:val="0"/>
              <w:autoSpaceDE w:val="0"/>
              <w:autoSpaceDN w:val="0"/>
              <w:adjustRightInd w:val="0"/>
            </w:pPr>
            <w:r w:rsidRPr="003F799E">
              <w:t>10</w:t>
            </w:r>
            <w:r>
              <w:t xml:space="preserve"> (5)</w:t>
            </w:r>
          </w:p>
          <w:p w14:paraId="48229A11" w14:textId="77777777" w:rsidR="002321FF" w:rsidRPr="003F799E" w:rsidRDefault="002321FF" w:rsidP="00291B21">
            <w:pPr>
              <w:widowControl w:val="0"/>
              <w:autoSpaceDE w:val="0"/>
              <w:autoSpaceDN w:val="0"/>
              <w:adjustRightInd w:val="0"/>
            </w:pPr>
            <w:r w:rsidRPr="003F799E">
              <w:t>5</w:t>
            </w:r>
            <w:r>
              <w:t xml:space="preserve"> (2,5)</w:t>
            </w:r>
          </w:p>
          <w:p w14:paraId="727D4CB3" w14:textId="77777777" w:rsidR="002321FF" w:rsidRPr="003F799E" w:rsidRDefault="002321FF" w:rsidP="00291B21">
            <w:pPr>
              <w:widowControl w:val="0"/>
              <w:autoSpaceDE w:val="0"/>
              <w:autoSpaceDN w:val="0"/>
              <w:adjustRightInd w:val="0"/>
            </w:pPr>
            <w:r w:rsidRPr="003F799E">
              <w:t>8</w:t>
            </w:r>
            <w:r>
              <w:t xml:space="preserve"> (4)</w:t>
            </w:r>
          </w:p>
          <w:p w14:paraId="4BF456A7" w14:textId="77777777" w:rsidR="002321FF" w:rsidRPr="003F799E" w:rsidRDefault="002321FF" w:rsidP="00291B21">
            <w:pPr>
              <w:widowControl w:val="0"/>
              <w:autoSpaceDE w:val="0"/>
              <w:autoSpaceDN w:val="0"/>
              <w:adjustRightInd w:val="0"/>
            </w:pPr>
            <w:r w:rsidRPr="003F799E">
              <w:t>13</w:t>
            </w:r>
            <w:r>
              <w:t xml:space="preserve"> (6,5)</w:t>
            </w:r>
          </w:p>
          <w:p w14:paraId="77AD2699" w14:textId="77777777" w:rsidR="002321FF" w:rsidRPr="003F799E" w:rsidRDefault="002321FF" w:rsidP="00291B21">
            <w:pPr>
              <w:widowControl w:val="0"/>
              <w:autoSpaceDE w:val="0"/>
              <w:autoSpaceDN w:val="0"/>
              <w:adjustRightInd w:val="0"/>
            </w:pPr>
            <w:r w:rsidRPr="003F799E">
              <w:t>14</w:t>
            </w:r>
            <w:r>
              <w:t xml:space="preserve"> (7)</w:t>
            </w:r>
          </w:p>
          <w:p w14:paraId="48AEA4EE" w14:textId="77777777" w:rsidR="002321FF" w:rsidRPr="003F799E" w:rsidRDefault="002321FF" w:rsidP="00291B21">
            <w:pPr>
              <w:widowControl w:val="0"/>
              <w:autoSpaceDE w:val="0"/>
              <w:autoSpaceDN w:val="0"/>
              <w:adjustRightInd w:val="0"/>
            </w:pPr>
            <w:r w:rsidRPr="003F799E">
              <w:t>24</w:t>
            </w:r>
            <w:r>
              <w:t xml:space="preserve"> (12)</w:t>
            </w:r>
          </w:p>
          <w:p w14:paraId="6EFA2748" w14:textId="77777777" w:rsidR="002321FF" w:rsidRDefault="002321FF" w:rsidP="00291B21">
            <w:pPr>
              <w:widowControl w:val="0"/>
              <w:autoSpaceDE w:val="0"/>
              <w:autoSpaceDN w:val="0"/>
              <w:adjustRightInd w:val="0"/>
            </w:pPr>
            <w:r w:rsidRPr="003F799E">
              <w:t>26</w:t>
            </w:r>
            <w:r>
              <w:t xml:space="preserve"> (13)</w:t>
            </w:r>
          </w:p>
        </w:tc>
      </w:tr>
    </w:tbl>
    <w:p w14:paraId="6598349D" w14:textId="77777777" w:rsidR="002321FF" w:rsidRDefault="002321FF" w:rsidP="002321FF">
      <w:pPr>
        <w:widowControl w:val="0"/>
        <w:autoSpaceDE w:val="0"/>
        <w:autoSpaceDN w:val="0"/>
        <w:adjustRightInd w:val="0"/>
        <w:spacing w:after="240"/>
        <w:jc w:val="both"/>
        <w:rPr>
          <w:rFonts w:ascii="Arial" w:hAnsi="Arial" w:cs="Arial"/>
          <w:b/>
        </w:rPr>
      </w:pPr>
      <w:r>
        <w:rPr>
          <w:rFonts w:ascii="Arial" w:hAnsi="Arial" w:cs="Arial"/>
          <w:b/>
        </w:rPr>
        <w:br/>
      </w:r>
      <w:r>
        <w:rPr>
          <w:rFonts w:ascii="Arial" w:hAnsi="Arial" w:cs="Arial"/>
          <w:b/>
        </w:rPr>
        <w:br/>
      </w:r>
      <w:r>
        <w:rPr>
          <w:rFonts w:ascii="Arial" w:hAnsi="Arial" w:cs="Arial"/>
          <w:b/>
        </w:rPr>
        <w:br/>
      </w:r>
    </w:p>
    <w:p w14:paraId="1B274567" w14:textId="77777777" w:rsidR="002321FF" w:rsidRDefault="002321FF" w:rsidP="002321FF">
      <w:pPr>
        <w:widowControl w:val="0"/>
        <w:autoSpaceDE w:val="0"/>
        <w:autoSpaceDN w:val="0"/>
        <w:adjustRightInd w:val="0"/>
        <w:spacing w:after="240"/>
        <w:jc w:val="both"/>
        <w:rPr>
          <w:rFonts w:ascii="Arial" w:hAnsi="Arial" w:cs="Arial"/>
          <w:b/>
        </w:rPr>
      </w:pPr>
    </w:p>
    <w:p w14:paraId="4C9E3624" w14:textId="77777777" w:rsidR="002321FF" w:rsidRDefault="002321FF" w:rsidP="002321FF">
      <w:pPr>
        <w:widowControl w:val="0"/>
        <w:autoSpaceDE w:val="0"/>
        <w:autoSpaceDN w:val="0"/>
        <w:adjustRightInd w:val="0"/>
        <w:spacing w:after="240"/>
        <w:jc w:val="both"/>
        <w:rPr>
          <w:rFonts w:ascii="Arial" w:hAnsi="Arial" w:cs="Arial"/>
          <w:b/>
        </w:rPr>
      </w:pPr>
    </w:p>
    <w:p w14:paraId="6C8FE5FB" w14:textId="77777777" w:rsidR="002321FF" w:rsidRPr="00103AB5" w:rsidRDefault="002321FF" w:rsidP="002321FF">
      <w:pPr>
        <w:widowControl w:val="0"/>
        <w:autoSpaceDE w:val="0"/>
        <w:autoSpaceDN w:val="0"/>
        <w:adjustRightInd w:val="0"/>
        <w:spacing w:after="240"/>
        <w:jc w:val="both"/>
        <w:rPr>
          <w:rFonts w:ascii="Arial" w:hAnsi="Arial" w:cs="Arial"/>
          <w:b/>
        </w:rPr>
      </w:pPr>
    </w:p>
    <w:p w14:paraId="6776C564" w14:textId="77777777" w:rsidR="002321FF" w:rsidRDefault="002321FF" w:rsidP="002321FF">
      <w:pPr>
        <w:widowControl w:val="0"/>
        <w:autoSpaceDE w:val="0"/>
        <w:autoSpaceDN w:val="0"/>
        <w:adjustRightInd w:val="0"/>
      </w:pPr>
    </w:p>
    <w:p w14:paraId="527F8D3B" w14:textId="77777777" w:rsidR="002321FF" w:rsidRDefault="002321FF" w:rsidP="002321FF">
      <w:pPr>
        <w:widowControl w:val="0"/>
        <w:autoSpaceDE w:val="0"/>
        <w:autoSpaceDN w:val="0"/>
        <w:adjustRightInd w:val="0"/>
        <w:spacing w:after="240"/>
        <w:jc w:val="both"/>
        <w:rPr>
          <w:rFonts w:ascii="Arial" w:hAnsi="Arial" w:cs="Arial"/>
          <w:sz w:val="22"/>
          <w:szCs w:val="22"/>
        </w:rPr>
      </w:pPr>
    </w:p>
    <w:p w14:paraId="0259EC99" w14:textId="77777777" w:rsidR="002321FF" w:rsidRDefault="002321FF" w:rsidP="002321FF">
      <w:pPr>
        <w:widowControl w:val="0"/>
        <w:autoSpaceDE w:val="0"/>
        <w:autoSpaceDN w:val="0"/>
        <w:adjustRightInd w:val="0"/>
        <w:spacing w:after="240"/>
        <w:jc w:val="both"/>
        <w:rPr>
          <w:rFonts w:ascii="Arial" w:hAnsi="Arial" w:cs="Arial"/>
          <w:b/>
          <w:sz w:val="22"/>
          <w:szCs w:val="22"/>
        </w:rPr>
      </w:pPr>
      <w:r>
        <w:rPr>
          <w:rFonts w:ascii="Arial" w:hAnsi="Arial" w:cs="Arial"/>
          <w:b/>
          <w:sz w:val="22"/>
          <w:szCs w:val="22"/>
        </w:rPr>
        <w:br/>
      </w:r>
    </w:p>
    <w:p w14:paraId="4ED66D18" w14:textId="77777777" w:rsidR="002321FF" w:rsidRDefault="002321FF" w:rsidP="002321FF">
      <w:pPr>
        <w:widowControl w:val="0"/>
        <w:autoSpaceDE w:val="0"/>
        <w:autoSpaceDN w:val="0"/>
        <w:adjustRightInd w:val="0"/>
        <w:spacing w:after="240"/>
        <w:jc w:val="both"/>
        <w:rPr>
          <w:rFonts w:ascii="Arial" w:hAnsi="Arial" w:cs="Arial"/>
          <w:b/>
          <w:sz w:val="22"/>
          <w:szCs w:val="22"/>
        </w:rPr>
      </w:pPr>
    </w:p>
    <w:p w14:paraId="1323FE73" w14:textId="77777777" w:rsidR="002321FF" w:rsidRDefault="002321FF" w:rsidP="002321FF">
      <w:pPr>
        <w:widowControl w:val="0"/>
        <w:autoSpaceDE w:val="0"/>
        <w:autoSpaceDN w:val="0"/>
        <w:adjustRightInd w:val="0"/>
        <w:spacing w:after="240"/>
        <w:jc w:val="both"/>
        <w:rPr>
          <w:rFonts w:ascii="Arial" w:hAnsi="Arial" w:cs="Arial"/>
          <w:b/>
          <w:sz w:val="22"/>
          <w:szCs w:val="22"/>
        </w:rPr>
      </w:pPr>
    </w:p>
    <w:p w14:paraId="66E54C41" w14:textId="77777777" w:rsidR="002321FF" w:rsidRDefault="002321FF" w:rsidP="002321FF">
      <w:pPr>
        <w:widowControl w:val="0"/>
        <w:autoSpaceDE w:val="0"/>
        <w:autoSpaceDN w:val="0"/>
        <w:adjustRightInd w:val="0"/>
        <w:spacing w:after="240"/>
        <w:jc w:val="both"/>
        <w:rPr>
          <w:rFonts w:ascii="Arial" w:hAnsi="Arial" w:cs="Arial"/>
          <w:b/>
          <w:sz w:val="22"/>
          <w:szCs w:val="22"/>
        </w:rPr>
      </w:pPr>
    </w:p>
    <w:p w14:paraId="05AB4896" w14:textId="77777777" w:rsidR="002321FF" w:rsidRDefault="002321FF" w:rsidP="002321FF">
      <w:pPr>
        <w:widowControl w:val="0"/>
        <w:autoSpaceDE w:val="0"/>
        <w:autoSpaceDN w:val="0"/>
        <w:adjustRightInd w:val="0"/>
        <w:spacing w:after="240"/>
        <w:jc w:val="both"/>
        <w:rPr>
          <w:rFonts w:ascii="Arial" w:hAnsi="Arial" w:cs="Arial"/>
          <w:b/>
          <w:sz w:val="22"/>
          <w:szCs w:val="22"/>
        </w:rPr>
      </w:pPr>
    </w:p>
    <w:p w14:paraId="170C5658" w14:textId="77777777" w:rsidR="002321FF" w:rsidRDefault="002321FF" w:rsidP="002321FF">
      <w:pPr>
        <w:widowControl w:val="0"/>
        <w:autoSpaceDE w:val="0"/>
        <w:autoSpaceDN w:val="0"/>
        <w:adjustRightInd w:val="0"/>
        <w:spacing w:after="240"/>
        <w:jc w:val="both"/>
        <w:rPr>
          <w:rFonts w:ascii="Arial" w:hAnsi="Arial" w:cs="Arial"/>
          <w:b/>
          <w:sz w:val="22"/>
          <w:szCs w:val="22"/>
        </w:rPr>
      </w:pPr>
    </w:p>
    <w:p w14:paraId="4F593C1E" w14:textId="77777777" w:rsidR="002321FF" w:rsidRDefault="002321FF" w:rsidP="002321FF">
      <w:pPr>
        <w:widowControl w:val="0"/>
        <w:autoSpaceDE w:val="0"/>
        <w:autoSpaceDN w:val="0"/>
        <w:adjustRightInd w:val="0"/>
        <w:spacing w:after="240"/>
        <w:jc w:val="both"/>
        <w:rPr>
          <w:rFonts w:ascii="Arial" w:hAnsi="Arial" w:cs="Arial"/>
          <w:b/>
          <w:sz w:val="22"/>
          <w:szCs w:val="22"/>
        </w:rPr>
      </w:pPr>
    </w:p>
    <w:p w14:paraId="2D64360C" w14:textId="77777777" w:rsidR="000C21BA" w:rsidRDefault="000C21BA" w:rsidP="002321FF">
      <w:pPr>
        <w:widowControl w:val="0"/>
        <w:autoSpaceDE w:val="0"/>
        <w:autoSpaceDN w:val="0"/>
        <w:adjustRightInd w:val="0"/>
        <w:spacing w:after="240"/>
        <w:jc w:val="both"/>
        <w:outlineLvl w:val="0"/>
        <w:rPr>
          <w:b/>
        </w:rPr>
      </w:pPr>
    </w:p>
    <w:p w14:paraId="787A3A74" w14:textId="77777777" w:rsidR="00F93EE5" w:rsidRPr="00F93EE5" w:rsidRDefault="002321FF" w:rsidP="00F93EE5">
      <w:pPr>
        <w:widowControl w:val="0"/>
        <w:autoSpaceDE w:val="0"/>
        <w:autoSpaceDN w:val="0"/>
        <w:adjustRightInd w:val="0"/>
        <w:spacing w:after="240"/>
        <w:jc w:val="both"/>
        <w:outlineLvl w:val="0"/>
        <w:rPr>
          <w:b/>
        </w:rPr>
      </w:pPr>
      <w:r w:rsidRPr="000C21BA">
        <w:rPr>
          <w:b/>
        </w:rPr>
        <w:t xml:space="preserve">Tabla 2. </w:t>
      </w:r>
      <w:r w:rsidR="007B0088" w:rsidRPr="007B0088">
        <w:rPr>
          <w:b/>
          <w:u w:val="single"/>
        </w:rPr>
        <w:t>Síntomas sistémicos según tipo de loxoscelismo</w:t>
      </w:r>
    </w:p>
    <w:tbl>
      <w:tblPr>
        <w:tblStyle w:val="Tablaconcuadrcula"/>
        <w:tblW w:w="0" w:type="auto"/>
        <w:tblLook w:val="00A0" w:firstRow="1" w:lastRow="0" w:firstColumn="1" w:lastColumn="0" w:noHBand="0" w:noVBand="0"/>
      </w:tblPr>
      <w:tblGrid>
        <w:gridCol w:w="2854"/>
        <w:gridCol w:w="1689"/>
        <w:gridCol w:w="1824"/>
        <w:gridCol w:w="1425"/>
        <w:gridCol w:w="1036"/>
      </w:tblGrid>
      <w:tr w:rsidR="00F93EE5" w14:paraId="542313C6" w14:textId="77777777" w:rsidTr="006F32DD">
        <w:tc>
          <w:tcPr>
            <w:tcW w:w="2854" w:type="dxa"/>
          </w:tcPr>
          <w:p w14:paraId="04217B04" w14:textId="77777777" w:rsidR="00F93EE5" w:rsidRDefault="00F93EE5" w:rsidP="006F32DD">
            <w:pPr>
              <w:widowControl w:val="0"/>
              <w:autoSpaceDE w:val="0"/>
              <w:autoSpaceDN w:val="0"/>
              <w:adjustRightInd w:val="0"/>
              <w:spacing w:line="400" w:lineRule="atLeast"/>
            </w:pPr>
            <w:r>
              <w:t>Síntomas sistémicos</w:t>
            </w:r>
          </w:p>
        </w:tc>
        <w:tc>
          <w:tcPr>
            <w:tcW w:w="1689" w:type="dxa"/>
          </w:tcPr>
          <w:p w14:paraId="1378FA22" w14:textId="77777777" w:rsidR="00F93EE5" w:rsidRDefault="00F93EE5" w:rsidP="006F32DD">
            <w:pPr>
              <w:widowControl w:val="0"/>
              <w:autoSpaceDE w:val="0"/>
              <w:autoSpaceDN w:val="0"/>
              <w:adjustRightInd w:val="0"/>
              <w:spacing w:line="400" w:lineRule="atLeast"/>
            </w:pPr>
            <w:proofErr w:type="spellStart"/>
            <w:r>
              <w:t>Loxo</w:t>
            </w:r>
            <w:r w:rsidR="007B0088">
              <w:t>s</w:t>
            </w:r>
            <w:r>
              <w:t>celismo</w:t>
            </w:r>
            <w:proofErr w:type="spellEnd"/>
            <w:r>
              <w:t xml:space="preserve"> Cutáneo</w:t>
            </w:r>
          </w:p>
          <w:p w14:paraId="2320AE3D" w14:textId="77777777" w:rsidR="00F93EE5" w:rsidRDefault="007B0088" w:rsidP="006F32DD">
            <w:pPr>
              <w:widowControl w:val="0"/>
              <w:autoSpaceDE w:val="0"/>
              <w:autoSpaceDN w:val="0"/>
              <w:adjustRightInd w:val="0"/>
              <w:spacing w:line="400" w:lineRule="atLeast"/>
            </w:pPr>
            <w:r>
              <w:t xml:space="preserve">n </w:t>
            </w:r>
            <w:r w:rsidR="00F93EE5">
              <w:t>(%)</w:t>
            </w:r>
          </w:p>
        </w:tc>
        <w:tc>
          <w:tcPr>
            <w:tcW w:w="1824" w:type="dxa"/>
          </w:tcPr>
          <w:p w14:paraId="37C9235E" w14:textId="77777777" w:rsidR="00F93EE5" w:rsidRDefault="00F93EE5" w:rsidP="006F32DD">
            <w:pPr>
              <w:widowControl w:val="0"/>
              <w:autoSpaceDE w:val="0"/>
              <w:autoSpaceDN w:val="0"/>
              <w:adjustRightInd w:val="0"/>
              <w:spacing w:line="400" w:lineRule="atLeast"/>
            </w:pPr>
            <w:proofErr w:type="spellStart"/>
            <w:r>
              <w:t>Loxo</w:t>
            </w:r>
            <w:r w:rsidR="007B0088">
              <w:t>s</w:t>
            </w:r>
            <w:r>
              <w:t>celismo</w:t>
            </w:r>
            <w:proofErr w:type="spellEnd"/>
            <w:r>
              <w:t xml:space="preserve"> cutáneo-visceral</w:t>
            </w:r>
          </w:p>
          <w:p w14:paraId="3A5E9262" w14:textId="77777777" w:rsidR="00F93EE5" w:rsidRDefault="007B0088" w:rsidP="006F32DD">
            <w:pPr>
              <w:widowControl w:val="0"/>
              <w:autoSpaceDE w:val="0"/>
              <w:autoSpaceDN w:val="0"/>
              <w:adjustRightInd w:val="0"/>
              <w:spacing w:line="400" w:lineRule="atLeast"/>
            </w:pPr>
            <w:r>
              <w:t xml:space="preserve">n </w:t>
            </w:r>
            <w:r w:rsidR="00F93EE5">
              <w:t>(%)</w:t>
            </w:r>
          </w:p>
        </w:tc>
        <w:tc>
          <w:tcPr>
            <w:tcW w:w="1425" w:type="dxa"/>
          </w:tcPr>
          <w:p w14:paraId="59228D25" w14:textId="77777777" w:rsidR="00F93EE5" w:rsidRDefault="00F93EE5" w:rsidP="006F32DD">
            <w:pPr>
              <w:widowControl w:val="0"/>
              <w:autoSpaceDE w:val="0"/>
              <w:autoSpaceDN w:val="0"/>
              <w:adjustRightInd w:val="0"/>
              <w:spacing w:line="400" w:lineRule="atLeast"/>
            </w:pPr>
            <w:r>
              <w:t>Total</w:t>
            </w:r>
          </w:p>
          <w:p w14:paraId="1D8DB297" w14:textId="77777777" w:rsidR="00F93EE5" w:rsidRDefault="007B0088" w:rsidP="006F32DD">
            <w:pPr>
              <w:widowControl w:val="0"/>
              <w:autoSpaceDE w:val="0"/>
              <w:autoSpaceDN w:val="0"/>
              <w:adjustRightInd w:val="0"/>
              <w:spacing w:line="400" w:lineRule="atLeast"/>
            </w:pPr>
            <w:r>
              <w:t xml:space="preserve">n </w:t>
            </w:r>
            <w:r w:rsidR="00F93EE5">
              <w:t>(%)</w:t>
            </w:r>
          </w:p>
        </w:tc>
        <w:tc>
          <w:tcPr>
            <w:tcW w:w="1036" w:type="dxa"/>
          </w:tcPr>
          <w:p w14:paraId="6008FEC7" w14:textId="77777777" w:rsidR="00F93EE5" w:rsidRDefault="00F93EE5" w:rsidP="006F32DD">
            <w:pPr>
              <w:widowControl w:val="0"/>
              <w:autoSpaceDE w:val="0"/>
              <w:autoSpaceDN w:val="0"/>
              <w:adjustRightInd w:val="0"/>
              <w:spacing w:line="400" w:lineRule="atLeast"/>
            </w:pPr>
            <w:r>
              <w:t>Valor p</w:t>
            </w:r>
          </w:p>
        </w:tc>
      </w:tr>
      <w:tr w:rsidR="00F93EE5" w14:paraId="794DBCCE" w14:textId="77777777" w:rsidTr="006F32DD">
        <w:tc>
          <w:tcPr>
            <w:tcW w:w="2854" w:type="dxa"/>
          </w:tcPr>
          <w:p w14:paraId="60BA79F4" w14:textId="77777777" w:rsidR="00F93EE5" w:rsidRDefault="00F93EE5" w:rsidP="006F32DD">
            <w:pPr>
              <w:widowControl w:val="0"/>
              <w:autoSpaceDE w:val="0"/>
              <w:autoSpaceDN w:val="0"/>
              <w:adjustRightInd w:val="0"/>
              <w:spacing w:line="400" w:lineRule="atLeast"/>
            </w:pPr>
            <w:r>
              <w:t>Fiebre</w:t>
            </w:r>
          </w:p>
        </w:tc>
        <w:tc>
          <w:tcPr>
            <w:tcW w:w="1689" w:type="dxa"/>
          </w:tcPr>
          <w:p w14:paraId="6CE57C79" w14:textId="77777777" w:rsidR="00F93EE5" w:rsidRPr="00F93EE5" w:rsidRDefault="00F93EE5" w:rsidP="006F32DD">
            <w:pPr>
              <w:widowControl w:val="0"/>
              <w:autoSpaceDE w:val="0"/>
              <w:autoSpaceDN w:val="0"/>
              <w:adjustRightInd w:val="0"/>
              <w:spacing w:line="400" w:lineRule="atLeast"/>
            </w:pPr>
            <w:r w:rsidRPr="00F93EE5">
              <w:t>14 (7,4)</w:t>
            </w:r>
          </w:p>
        </w:tc>
        <w:tc>
          <w:tcPr>
            <w:tcW w:w="1824" w:type="dxa"/>
          </w:tcPr>
          <w:p w14:paraId="3AE5314F" w14:textId="77777777" w:rsidR="00F93EE5" w:rsidRPr="00F93EE5" w:rsidRDefault="00F93EE5" w:rsidP="006F32DD">
            <w:pPr>
              <w:widowControl w:val="0"/>
              <w:autoSpaceDE w:val="0"/>
              <w:autoSpaceDN w:val="0"/>
              <w:adjustRightInd w:val="0"/>
              <w:spacing w:line="400" w:lineRule="atLeast"/>
            </w:pPr>
            <w:r w:rsidRPr="00F93EE5">
              <w:t>8 (72,7)</w:t>
            </w:r>
          </w:p>
        </w:tc>
        <w:tc>
          <w:tcPr>
            <w:tcW w:w="1425" w:type="dxa"/>
          </w:tcPr>
          <w:p w14:paraId="05A16737" w14:textId="77777777" w:rsidR="00F93EE5" w:rsidRPr="00F93EE5" w:rsidRDefault="00F93EE5" w:rsidP="006F32DD">
            <w:pPr>
              <w:widowControl w:val="0"/>
              <w:autoSpaceDE w:val="0"/>
              <w:autoSpaceDN w:val="0"/>
              <w:adjustRightInd w:val="0"/>
              <w:spacing w:line="400" w:lineRule="atLeast"/>
            </w:pPr>
            <w:r w:rsidRPr="00F93EE5">
              <w:t>22 (11)</w:t>
            </w:r>
          </w:p>
        </w:tc>
        <w:tc>
          <w:tcPr>
            <w:tcW w:w="1036" w:type="dxa"/>
          </w:tcPr>
          <w:p w14:paraId="1C014F59" w14:textId="77777777" w:rsidR="00F93EE5" w:rsidRPr="00F93EE5" w:rsidRDefault="00F93EE5" w:rsidP="006F32DD">
            <w:pPr>
              <w:widowControl w:val="0"/>
              <w:autoSpaceDE w:val="0"/>
              <w:autoSpaceDN w:val="0"/>
              <w:adjustRightInd w:val="0"/>
              <w:spacing w:line="400" w:lineRule="atLeast"/>
              <w:rPr>
                <w:b/>
              </w:rPr>
            </w:pPr>
            <w:r w:rsidRPr="00F93EE5">
              <w:rPr>
                <w:b/>
              </w:rPr>
              <w:t>&lt;0,001</w:t>
            </w:r>
          </w:p>
        </w:tc>
      </w:tr>
      <w:tr w:rsidR="00F93EE5" w14:paraId="469F5733" w14:textId="77777777" w:rsidTr="006F32DD">
        <w:tc>
          <w:tcPr>
            <w:tcW w:w="2854" w:type="dxa"/>
          </w:tcPr>
          <w:p w14:paraId="365122DF" w14:textId="77777777" w:rsidR="00F93EE5" w:rsidRDefault="00F93EE5" w:rsidP="006F32DD">
            <w:pPr>
              <w:widowControl w:val="0"/>
              <w:autoSpaceDE w:val="0"/>
              <w:autoSpaceDN w:val="0"/>
              <w:adjustRightInd w:val="0"/>
              <w:spacing w:line="400" w:lineRule="atLeast"/>
            </w:pPr>
            <w:r>
              <w:t>Ictericia</w:t>
            </w:r>
          </w:p>
        </w:tc>
        <w:tc>
          <w:tcPr>
            <w:tcW w:w="1689" w:type="dxa"/>
          </w:tcPr>
          <w:p w14:paraId="61B39E8D" w14:textId="77777777" w:rsidR="00F93EE5" w:rsidRPr="00F93EE5" w:rsidRDefault="00F93EE5" w:rsidP="006F32DD">
            <w:pPr>
              <w:widowControl w:val="0"/>
              <w:autoSpaceDE w:val="0"/>
              <w:autoSpaceDN w:val="0"/>
              <w:adjustRightInd w:val="0"/>
              <w:spacing w:line="400" w:lineRule="atLeast"/>
            </w:pPr>
            <w:r w:rsidRPr="00F93EE5">
              <w:t>1 (0,5)</w:t>
            </w:r>
          </w:p>
        </w:tc>
        <w:tc>
          <w:tcPr>
            <w:tcW w:w="1824" w:type="dxa"/>
          </w:tcPr>
          <w:p w14:paraId="42D66362" w14:textId="77777777" w:rsidR="00F93EE5" w:rsidRPr="00F93EE5" w:rsidRDefault="00F93EE5" w:rsidP="006F32DD">
            <w:pPr>
              <w:widowControl w:val="0"/>
              <w:autoSpaceDE w:val="0"/>
              <w:autoSpaceDN w:val="0"/>
              <w:adjustRightInd w:val="0"/>
              <w:spacing w:line="400" w:lineRule="atLeast"/>
            </w:pPr>
            <w:r w:rsidRPr="00F93EE5">
              <w:t>1 (9)</w:t>
            </w:r>
          </w:p>
        </w:tc>
        <w:tc>
          <w:tcPr>
            <w:tcW w:w="1425" w:type="dxa"/>
          </w:tcPr>
          <w:p w14:paraId="35AF907A" w14:textId="77777777" w:rsidR="00F93EE5" w:rsidRPr="00F93EE5" w:rsidRDefault="00F93EE5" w:rsidP="006F32DD">
            <w:pPr>
              <w:widowControl w:val="0"/>
              <w:autoSpaceDE w:val="0"/>
              <w:autoSpaceDN w:val="0"/>
              <w:adjustRightInd w:val="0"/>
              <w:spacing w:line="400" w:lineRule="atLeast"/>
            </w:pPr>
            <w:r w:rsidRPr="00F93EE5">
              <w:t>2 (2)</w:t>
            </w:r>
          </w:p>
        </w:tc>
        <w:tc>
          <w:tcPr>
            <w:tcW w:w="1036" w:type="dxa"/>
          </w:tcPr>
          <w:p w14:paraId="2B46650C" w14:textId="77777777" w:rsidR="00F93EE5" w:rsidRPr="00F93EE5" w:rsidRDefault="00F93EE5" w:rsidP="006F32DD">
            <w:pPr>
              <w:widowControl w:val="0"/>
              <w:autoSpaceDE w:val="0"/>
              <w:autoSpaceDN w:val="0"/>
              <w:adjustRightInd w:val="0"/>
              <w:spacing w:line="400" w:lineRule="atLeast"/>
              <w:rPr>
                <w:b/>
              </w:rPr>
            </w:pPr>
            <w:r w:rsidRPr="00F93EE5">
              <w:rPr>
                <w:b/>
              </w:rPr>
              <w:t>0,006</w:t>
            </w:r>
          </w:p>
        </w:tc>
      </w:tr>
      <w:tr w:rsidR="00F93EE5" w14:paraId="79BDDC18" w14:textId="77777777" w:rsidTr="006F32DD">
        <w:tc>
          <w:tcPr>
            <w:tcW w:w="2854" w:type="dxa"/>
          </w:tcPr>
          <w:p w14:paraId="69E11132" w14:textId="77777777" w:rsidR="00F93EE5" w:rsidRDefault="00F93EE5" w:rsidP="006F32DD">
            <w:pPr>
              <w:widowControl w:val="0"/>
              <w:autoSpaceDE w:val="0"/>
              <w:autoSpaceDN w:val="0"/>
              <w:adjustRightInd w:val="0"/>
              <w:spacing w:line="400" w:lineRule="atLeast"/>
            </w:pPr>
            <w:r>
              <w:t>Síntomas GI (dolor abdominal, diarrea, vómitos)</w:t>
            </w:r>
          </w:p>
        </w:tc>
        <w:tc>
          <w:tcPr>
            <w:tcW w:w="1689" w:type="dxa"/>
          </w:tcPr>
          <w:p w14:paraId="7A5DAAEA" w14:textId="77777777" w:rsidR="00F93EE5" w:rsidRPr="00F93EE5" w:rsidRDefault="00F93EE5" w:rsidP="006F32DD">
            <w:pPr>
              <w:widowControl w:val="0"/>
              <w:autoSpaceDE w:val="0"/>
              <w:autoSpaceDN w:val="0"/>
              <w:adjustRightInd w:val="0"/>
              <w:spacing w:line="400" w:lineRule="atLeast"/>
            </w:pPr>
            <w:r w:rsidRPr="00F93EE5">
              <w:t>3 (1,6)</w:t>
            </w:r>
          </w:p>
        </w:tc>
        <w:tc>
          <w:tcPr>
            <w:tcW w:w="1824" w:type="dxa"/>
          </w:tcPr>
          <w:p w14:paraId="7672C798" w14:textId="77777777" w:rsidR="00F93EE5" w:rsidRPr="00F93EE5" w:rsidRDefault="00F93EE5" w:rsidP="006F32DD">
            <w:pPr>
              <w:widowControl w:val="0"/>
              <w:autoSpaceDE w:val="0"/>
              <w:autoSpaceDN w:val="0"/>
              <w:adjustRightInd w:val="0"/>
              <w:spacing w:line="400" w:lineRule="atLeast"/>
            </w:pPr>
            <w:r w:rsidRPr="00F93EE5">
              <w:t>2 (18)</w:t>
            </w:r>
          </w:p>
        </w:tc>
        <w:tc>
          <w:tcPr>
            <w:tcW w:w="1425" w:type="dxa"/>
          </w:tcPr>
          <w:p w14:paraId="2C600456" w14:textId="77777777" w:rsidR="00F93EE5" w:rsidRPr="00F93EE5" w:rsidRDefault="00F93EE5" w:rsidP="006F32DD">
            <w:pPr>
              <w:widowControl w:val="0"/>
              <w:autoSpaceDE w:val="0"/>
              <w:autoSpaceDN w:val="0"/>
              <w:adjustRightInd w:val="0"/>
              <w:spacing w:line="400" w:lineRule="atLeast"/>
            </w:pPr>
            <w:r w:rsidRPr="00F93EE5">
              <w:t>5 (2,5)</w:t>
            </w:r>
          </w:p>
        </w:tc>
        <w:tc>
          <w:tcPr>
            <w:tcW w:w="1036" w:type="dxa"/>
          </w:tcPr>
          <w:p w14:paraId="7A93234B" w14:textId="77777777" w:rsidR="00F93EE5" w:rsidRPr="00F93EE5" w:rsidRDefault="00F93EE5" w:rsidP="006F32DD">
            <w:pPr>
              <w:widowControl w:val="0"/>
              <w:autoSpaceDE w:val="0"/>
              <w:autoSpaceDN w:val="0"/>
              <w:adjustRightInd w:val="0"/>
              <w:spacing w:line="400" w:lineRule="atLeast"/>
              <w:rPr>
                <w:b/>
              </w:rPr>
            </w:pPr>
            <w:r w:rsidRPr="00F93EE5">
              <w:rPr>
                <w:b/>
              </w:rPr>
              <w:t>&lt;0,001</w:t>
            </w:r>
          </w:p>
        </w:tc>
      </w:tr>
      <w:tr w:rsidR="00F93EE5" w14:paraId="5FD1C275" w14:textId="77777777" w:rsidTr="006F32DD">
        <w:tc>
          <w:tcPr>
            <w:tcW w:w="2854" w:type="dxa"/>
          </w:tcPr>
          <w:p w14:paraId="03B17BA2" w14:textId="77777777" w:rsidR="00F93EE5" w:rsidRDefault="00F93EE5" w:rsidP="006F32DD">
            <w:pPr>
              <w:widowControl w:val="0"/>
              <w:autoSpaceDE w:val="0"/>
              <w:autoSpaceDN w:val="0"/>
              <w:adjustRightInd w:val="0"/>
              <w:spacing w:line="400" w:lineRule="atLeast"/>
            </w:pPr>
            <w:r>
              <w:t>Coluria</w:t>
            </w:r>
          </w:p>
        </w:tc>
        <w:tc>
          <w:tcPr>
            <w:tcW w:w="1689" w:type="dxa"/>
          </w:tcPr>
          <w:p w14:paraId="4AE0B384" w14:textId="77777777" w:rsidR="00F93EE5" w:rsidRPr="00F93EE5" w:rsidRDefault="00F93EE5" w:rsidP="006F32DD">
            <w:pPr>
              <w:widowControl w:val="0"/>
              <w:autoSpaceDE w:val="0"/>
              <w:autoSpaceDN w:val="0"/>
              <w:adjustRightInd w:val="0"/>
              <w:spacing w:line="400" w:lineRule="atLeast"/>
            </w:pPr>
            <w:r w:rsidRPr="00F93EE5">
              <w:t>1(0,5)</w:t>
            </w:r>
          </w:p>
        </w:tc>
        <w:tc>
          <w:tcPr>
            <w:tcW w:w="1824" w:type="dxa"/>
          </w:tcPr>
          <w:p w14:paraId="2953BB9A" w14:textId="77777777" w:rsidR="00F93EE5" w:rsidRPr="00F93EE5" w:rsidRDefault="00F93EE5" w:rsidP="006F32DD">
            <w:pPr>
              <w:widowControl w:val="0"/>
              <w:autoSpaceDE w:val="0"/>
              <w:autoSpaceDN w:val="0"/>
              <w:adjustRightInd w:val="0"/>
              <w:spacing w:line="400" w:lineRule="atLeast"/>
            </w:pPr>
            <w:r w:rsidRPr="00F93EE5">
              <w:t>1 (9,1)</w:t>
            </w:r>
          </w:p>
        </w:tc>
        <w:tc>
          <w:tcPr>
            <w:tcW w:w="1425" w:type="dxa"/>
          </w:tcPr>
          <w:p w14:paraId="0C50C4F6" w14:textId="77777777" w:rsidR="00F93EE5" w:rsidRPr="00F93EE5" w:rsidRDefault="00F93EE5" w:rsidP="006F32DD">
            <w:pPr>
              <w:widowControl w:val="0"/>
              <w:autoSpaceDE w:val="0"/>
              <w:autoSpaceDN w:val="0"/>
              <w:adjustRightInd w:val="0"/>
              <w:spacing w:line="400" w:lineRule="atLeast"/>
            </w:pPr>
            <w:r w:rsidRPr="00F93EE5">
              <w:t>2 (1)</w:t>
            </w:r>
          </w:p>
        </w:tc>
        <w:tc>
          <w:tcPr>
            <w:tcW w:w="1036" w:type="dxa"/>
          </w:tcPr>
          <w:p w14:paraId="11A0C5D2" w14:textId="77777777" w:rsidR="00F93EE5" w:rsidRPr="00F93EE5" w:rsidRDefault="00F93EE5" w:rsidP="006F32DD">
            <w:pPr>
              <w:widowControl w:val="0"/>
              <w:autoSpaceDE w:val="0"/>
              <w:autoSpaceDN w:val="0"/>
              <w:adjustRightInd w:val="0"/>
              <w:spacing w:line="400" w:lineRule="atLeast"/>
              <w:rPr>
                <w:b/>
              </w:rPr>
            </w:pPr>
            <w:r w:rsidRPr="00F93EE5">
              <w:rPr>
                <w:b/>
              </w:rPr>
              <w:t>0,006</w:t>
            </w:r>
          </w:p>
        </w:tc>
      </w:tr>
      <w:tr w:rsidR="00F93EE5" w14:paraId="3CAAC320" w14:textId="77777777" w:rsidTr="006F32DD">
        <w:tc>
          <w:tcPr>
            <w:tcW w:w="2854" w:type="dxa"/>
          </w:tcPr>
          <w:p w14:paraId="0D1DF30D" w14:textId="77777777" w:rsidR="00F93EE5" w:rsidRDefault="00F93EE5" w:rsidP="006F32DD">
            <w:pPr>
              <w:widowControl w:val="0"/>
              <w:autoSpaceDE w:val="0"/>
              <w:autoSpaceDN w:val="0"/>
              <w:adjustRightInd w:val="0"/>
              <w:spacing w:line="400" w:lineRule="atLeast"/>
            </w:pPr>
            <w:r>
              <w:lastRenderedPageBreak/>
              <w:t>Algún síntoma sistémico</w:t>
            </w:r>
          </w:p>
        </w:tc>
        <w:tc>
          <w:tcPr>
            <w:tcW w:w="1689" w:type="dxa"/>
          </w:tcPr>
          <w:p w14:paraId="5101E674" w14:textId="77777777" w:rsidR="00F93EE5" w:rsidRPr="00F93EE5" w:rsidRDefault="00F93EE5" w:rsidP="006F32DD">
            <w:pPr>
              <w:widowControl w:val="0"/>
              <w:autoSpaceDE w:val="0"/>
              <w:autoSpaceDN w:val="0"/>
              <w:adjustRightInd w:val="0"/>
              <w:spacing w:line="400" w:lineRule="atLeast"/>
            </w:pPr>
            <w:r w:rsidRPr="00F93EE5">
              <w:t>17 (9%)</w:t>
            </w:r>
          </w:p>
        </w:tc>
        <w:tc>
          <w:tcPr>
            <w:tcW w:w="1824" w:type="dxa"/>
          </w:tcPr>
          <w:p w14:paraId="50F2DAD6" w14:textId="77777777" w:rsidR="00F93EE5" w:rsidRPr="00F93EE5" w:rsidRDefault="00F93EE5" w:rsidP="006F32DD">
            <w:pPr>
              <w:widowControl w:val="0"/>
              <w:autoSpaceDE w:val="0"/>
              <w:autoSpaceDN w:val="0"/>
              <w:adjustRightInd w:val="0"/>
              <w:spacing w:line="400" w:lineRule="atLeast"/>
            </w:pPr>
            <w:r w:rsidRPr="00F93EE5">
              <w:t>8 (72,7%)</w:t>
            </w:r>
          </w:p>
        </w:tc>
        <w:tc>
          <w:tcPr>
            <w:tcW w:w="1425" w:type="dxa"/>
          </w:tcPr>
          <w:p w14:paraId="0FC236C3" w14:textId="77777777" w:rsidR="00F93EE5" w:rsidRPr="00F93EE5" w:rsidRDefault="00F93EE5" w:rsidP="006F32DD">
            <w:pPr>
              <w:widowControl w:val="0"/>
              <w:autoSpaceDE w:val="0"/>
              <w:autoSpaceDN w:val="0"/>
              <w:adjustRightInd w:val="0"/>
              <w:spacing w:line="400" w:lineRule="atLeast"/>
            </w:pPr>
            <w:r w:rsidRPr="00F93EE5">
              <w:t>25 (12,5%)</w:t>
            </w:r>
          </w:p>
        </w:tc>
        <w:tc>
          <w:tcPr>
            <w:tcW w:w="1036" w:type="dxa"/>
          </w:tcPr>
          <w:p w14:paraId="28BB8359" w14:textId="77777777" w:rsidR="00F93EE5" w:rsidRPr="00F93EE5" w:rsidRDefault="00F93EE5" w:rsidP="006F32DD">
            <w:pPr>
              <w:widowControl w:val="0"/>
              <w:autoSpaceDE w:val="0"/>
              <w:autoSpaceDN w:val="0"/>
              <w:adjustRightInd w:val="0"/>
              <w:spacing w:line="400" w:lineRule="atLeast"/>
              <w:rPr>
                <w:b/>
              </w:rPr>
            </w:pPr>
            <w:r w:rsidRPr="00F93EE5">
              <w:rPr>
                <w:b/>
              </w:rPr>
              <w:t>&lt;0,001</w:t>
            </w:r>
          </w:p>
        </w:tc>
      </w:tr>
    </w:tbl>
    <w:p w14:paraId="7E0C7BA3" w14:textId="77777777" w:rsidR="00F93EE5" w:rsidRPr="00F93EE5" w:rsidRDefault="00F93EE5" w:rsidP="00F93EE5">
      <w:pPr>
        <w:widowControl w:val="0"/>
        <w:autoSpaceDE w:val="0"/>
        <w:autoSpaceDN w:val="0"/>
        <w:adjustRightInd w:val="0"/>
        <w:spacing w:after="240"/>
        <w:jc w:val="both"/>
        <w:rPr>
          <w:b/>
        </w:rPr>
      </w:pPr>
    </w:p>
    <w:p w14:paraId="3FF01453" w14:textId="77777777" w:rsidR="00F93EE5" w:rsidRPr="00F93EE5" w:rsidRDefault="00F93EE5" w:rsidP="00F93EE5">
      <w:pPr>
        <w:widowControl w:val="0"/>
        <w:autoSpaceDE w:val="0"/>
        <w:autoSpaceDN w:val="0"/>
        <w:adjustRightInd w:val="0"/>
        <w:spacing w:after="240"/>
        <w:jc w:val="both"/>
        <w:outlineLvl w:val="0"/>
        <w:rPr>
          <w:b/>
        </w:rPr>
      </w:pPr>
      <w:r w:rsidRPr="00F93EE5">
        <w:rPr>
          <w:b/>
        </w:rPr>
        <w:t xml:space="preserve">Tabla 3. </w:t>
      </w:r>
      <w:r w:rsidR="00183FC9" w:rsidRPr="00183FC9">
        <w:rPr>
          <w:b/>
          <w:u w:val="single"/>
        </w:rPr>
        <w:t>Hallazgos clínicos y de laboratorio según tipo de loxoscelismo</w:t>
      </w:r>
    </w:p>
    <w:tbl>
      <w:tblPr>
        <w:tblStyle w:val="Tablaconcuadrcula"/>
        <w:tblW w:w="0" w:type="auto"/>
        <w:tblLook w:val="00A0" w:firstRow="1" w:lastRow="0" w:firstColumn="1" w:lastColumn="0" w:noHBand="0" w:noVBand="0"/>
      </w:tblPr>
      <w:tblGrid>
        <w:gridCol w:w="1936"/>
        <w:gridCol w:w="1929"/>
        <w:gridCol w:w="1929"/>
        <w:gridCol w:w="1435"/>
        <w:gridCol w:w="1599"/>
      </w:tblGrid>
      <w:tr w:rsidR="00F93EE5" w:rsidRPr="00F93EE5" w14:paraId="67A3E240" w14:textId="77777777" w:rsidTr="006F32DD">
        <w:tc>
          <w:tcPr>
            <w:tcW w:w="1936" w:type="dxa"/>
          </w:tcPr>
          <w:p w14:paraId="78489495" w14:textId="77777777" w:rsidR="00F93EE5" w:rsidRPr="00F93EE5" w:rsidRDefault="00F93EE5" w:rsidP="006F32DD">
            <w:pPr>
              <w:widowControl w:val="0"/>
              <w:autoSpaceDE w:val="0"/>
              <w:autoSpaceDN w:val="0"/>
              <w:adjustRightInd w:val="0"/>
              <w:spacing w:line="400" w:lineRule="atLeast"/>
            </w:pPr>
            <w:r w:rsidRPr="00F93EE5">
              <w:t>Hallazgo clínico o de laboratorio</w:t>
            </w:r>
          </w:p>
        </w:tc>
        <w:tc>
          <w:tcPr>
            <w:tcW w:w="1929" w:type="dxa"/>
          </w:tcPr>
          <w:p w14:paraId="13790F91" w14:textId="77777777" w:rsidR="00F93EE5" w:rsidRPr="00F93EE5" w:rsidRDefault="00F93EE5" w:rsidP="006F32DD">
            <w:pPr>
              <w:widowControl w:val="0"/>
              <w:autoSpaceDE w:val="0"/>
              <w:autoSpaceDN w:val="0"/>
              <w:adjustRightInd w:val="0"/>
              <w:spacing w:line="400" w:lineRule="atLeast"/>
            </w:pPr>
            <w:proofErr w:type="spellStart"/>
            <w:r w:rsidRPr="00F93EE5">
              <w:t>Loxoscelismo</w:t>
            </w:r>
            <w:proofErr w:type="spellEnd"/>
            <w:r w:rsidRPr="00F93EE5">
              <w:t xml:space="preserve"> cutáneo (%)</w:t>
            </w:r>
          </w:p>
        </w:tc>
        <w:tc>
          <w:tcPr>
            <w:tcW w:w="1929" w:type="dxa"/>
          </w:tcPr>
          <w:p w14:paraId="2656F5D5" w14:textId="77777777" w:rsidR="00F93EE5" w:rsidRPr="00F93EE5" w:rsidRDefault="00F93EE5" w:rsidP="006F32DD">
            <w:pPr>
              <w:widowControl w:val="0"/>
              <w:autoSpaceDE w:val="0"/>
              <w:autoSpaceDN w:val="0"/>
              <w:adjustRightInd w:val="0"/>
              <w:spacing w:line="400" w:lineRule="atLeast"/>
            </w:pPr>
            <w:proofErr w:type="spellStart"/>
            <w:r w:rsidRPr="00F93EE5">
              <w:t>Loxoscelismo</w:t>
            </w:r>
            <w:proofErr w:type="spellEnd"/>
            <w:r w:rsidRPr="00F93EE5">
              <w:t xml:space="preserve"> cutáneo-visceral (%)</w:t>
            </w:r>
          </w:p>
        </w:tc>
        <w:tc>
          <w:tcPr>
            <w:tcW w:w="1435" w:type="dxa"/>
          </w:tcPr>
          <w:p w14:paraId="7121C325" w14:textId="77777777" w:rsidR="00F93EE5" w:rsidRPr="00F93EE5" w:rsidRDefault="00F93EE5" w:rsidP="006F32DD">
            <w:pPr>
              <w:widowControl w:val="0"/>
              <w:autoSpaceDE w:val="0"/>
              <w:autoSpaceDN w:val="0"/>
              <w:adjustRightInd w:val="0"/>
              <w:spacing w:line="400" w:lineRule="atLeast"/>
            </w:pPr>
            <w:r w:rsidRPr="00F93EE5">
              <w:t>Total</w:t>
            </w:r>
          </w:p>
          <w:p w14:paraId="37484952" w14:textId="77777777" w:rsidR="00F93EE5" w:rsidRPr="00F93EE5" w:rsidRDefault="00F93EE5" w:rsidP="006F32DD">
            <w:pPr>
              <w:widowControl w:val="0"/>
              <w:autoSpaceDE w:val="0"/>
              <w:autoSpaceDN w:val="0"/>
              <w:adjustRightInd w:val="0"/>
              <w:spacing w:line="400" w:lineRule="atLeast"/>
            </w:pPr>
            <w:r w:rsidRPr="00F93EE5">
              <w:t>(%)</w:t>
            </w:r>
          </w:p>
        </w:tc>
        <w:tc>
          <w:tcPr>
            <w:tcW w:w="1599" w:type="dxa"/>
          </w:tcPr>
          <w:p w14:paraId="6B319166" w14:textId="77777777" w:rsidR="00F93EE5" w:rsidRPr="00F93EE5" w:rsidRDefault="00F93EE5" w:rsidP="006F32DD">
            <w:pPr>
              <w:widowControl w:val="0"/>
              <w:autoSpaceDE w:val="0"/>
              <w:autoSpaceDN w:val="0"/>
              <w:adjustRightInd w:val="0"/>
              <w:spacing w:line="400" w:lineRule="atLeast"/>
            </w:pPr>
            <w:r w:rsidRPr="00F93EE5">
              <w:t>Valor p</w:t>
            </w:r>
          </w:p>
        </w:tc>
      </w:tr>
      <w:tr w:rsidR="00F93EE5" w:rsidRPr="00F93EE5" w14:paraId="2C914B74" w14:textId="77777777" w:rsidTr="006F32DD">
        <w:tc>
          <w:tcPr>
            <w:tcW w:w="1936" w:type="dxa"/>
          </w:tcPr>
          <w:p w14:paraId="152B962E" w14:textId="77777777" w:rsidR="00F93EE5" w:rsidRPr="00F93EE5" w:rsidRDefault="00F93EE5" w:rsidP="006F32DD">
            <w:pPr>
              <w:widowControl w:val="0"/>
              <w:autoSpaceDE w:val="0"/>
              <w:autoSpaceDN w:val="0"/>
              <w:adjustRightInd w:val="0"/>
              <w:spacing w:line="400" w:lineRule="atLeast"/>
            </w:pPr>
            <w:r w:rsidRPr="00F93EE5">
              <w:t>Hospitalización</w:t>
            </w:r>
          </w:p>
        </w:tc>
        <w:tc>
          <w:tcPr>
            <w:tcW w:w="1929" w:type="dxa"/>
          </w:tcPr>
          <w:p w14:paraId="442D2FE3" w14:textId="77777777" w:rsidR="00F93EE5" w:rsidRPr="00F93EE5" w:rsidRDefault="00F93EE5" w:rsidP="006F32DD">
            <w:pPr>
              <w:widowControl w:val="0"/>
              <w:autoSpaceDE w:val="0"/>
              <w:autoSpaceDN w:val="0"/>
              <w:adjustRightInd w:val="0"/>
              <w:spacing w:line="400" w:lineRule="atLeast"/>
            </w:pPr>
            <w:r w:rsidRPr="00F93EE5">
              <w:t>16.9</w:t>
            </w:r>
          </w:p>
        </w:tc>
        <w:tc>
          <w:tcPr>
            <w:tcW w:w="1929" w:type="dxa"/>
          </w:tcPr>
          <w:p w14:paraId="1492F4C1" w14:textId="77777777" w:rsidR="00F93EE5" w:rsidRPr="00F93EE5" w:rsidRDefault="00F93EE5" w:rsidP="006F32DD">
            <w:pPr>
              <w:widowControl w:val="0"/>
              <w:autoSpaceDE w:val="0"/>
              <w:autoSpaceDN w:val="0"/>
              <w:adjustRightInd w:val="0"/>
              <w:spacing w:line="400" w:lineRule="atLeast"/>
            </w:pPr>
            <w:r w:rsidRPr="00F93EE5">
              <w:t>100</w:t>
            </w:r>
          </w:p>
        </w:tc>
        <w:tc>
          <w:tcPr>
            <w:tcW w:w="1435" w:type="dxa"/>
          </w:tcPr>
          <w:p w14:paraId="64C4490F" w14:textId="77777777" w:rsidR="00F93EE5" w:rsidRPr="00F93EE5" w:rsidRDefault="00F93EE5" w:rsidP="006F32DD">
            <w:pPr>
              <w:widowControl w:val="0"/>
              <w:autoSpaceDE w:val="0"/>
              <w:autoSpaceDN w:val="0"/>
              <w:adjustRightInd w:val="0"/>
              <w:spacing w:line="400" w:lineRule="atLeast"/>
            </w:pPr>
            <w:r w:rsidRPr="00F93EE5">
              <w:t>21.5</w:t>
            </w:r>
          </w:p>
        </w:tc>
        <w:tc>
          <w:tcPr>
            <w:tcW w:w="1599" w:type="dxa"/>
          </w:tcPr>
          <w:p w14:paraId="5933A016" w14:textId="77777777" w:rsidR="00F93EE5" w:rsidRPr="00F93EE5" w:rsidRDefault="00F93EE5" w:rsidP="006F32DD">
            <w:pPr>
              <w:widowControl w:val="0"/>
              <w:autoSpaceDE w:val="0"/>
              <w:autoSpaceDN w:val="0"/>
              <w:adjustRightInd w:val="0"/>
              <w:spacing w:line="400" w:lineRule="atLeast"/>
            </w:pPr>
            <w:r w:rsidRPr="00F93EE5">
              <w:t>&lt;0.001</w:t>
            </w:r>
          </w:p>
        </w:tc>
      </w:tr>
      <w:tr w:rsidR="00F93EE5" w:rsidRPr="00F93EE5" w14:paraId="217D35A2" w14:textId="77777777" w:rsidTr="006F32DD">
        <w:tc>
          <w:tcPr>
            <w:tcW w:w="1936" w:type="dxa"/>
          </w:tcPr>
          <w:p w14:paraId="5D08645A" w14:textId="77777777" w:rsidR="00F93EE5" w:rsidRPr="00F93EE5" w:rsidRDefault="00F93EE5" w:rsidP="006F32DD">
            <w:pPr>
              <w:widowControl w:val="0"/>
              <w:autoSpaceDE w:val="0"/>
              <w:autoSpaceDN w:val="0"/>
              <w:adjustRightInd w:val="0"/>
              <w:spacing w:line="400" w:lineRule="atLeast"/>
            </w:pPr>
            <w:proofErr w:type="spellStart"/>
            <w:r w:rsidRPr="00F93EE5">
              <w:t>Rash</w:t>
            </w:r>
            <w:proofErr w:type="spellEnd"/>
            <w:r w:rsidRPr="00F93EE5">
              <w:t xml:space="preserve"> previo uso ATB</w:t>
            </w:r>
          </w:p>
        </w:tc>
        <w:tc>
          <w:tcPr>
            <w:tcW w:w="1929" w:type="dxa"/>
          </w:tcPr>
          <w:p w14:paraId="25FEA7EA" w14:textId="77777777" w:rsidR="00F93EE5" w:rsidRPr="00F93EE5" w:rsidRDefault="00F93EE5" w:rsidP="006F32DD">
            <w:pPr>
              <w:widowControl w:val="0"/>
              <w:autoSpaceDE w:val="0"/>
              <w:autoSpaceDN w:val="0"/>
              <w:adjustRightInd w:val="0"/>
              <w:spacing w:line="400" w:lineRule="atLeast"/>
            </w:pPr>
            <w:r w:rsidRPr="00F93EE5">
              <w:t>8.5</w:t>
            </w:r>
          </w:p>
        </w:tc>
        <w:tc>
          <w:tcPr>
            <w:tcW w:w="1929" w:type="dxa"/>
          </w:tcPr>
          <w:p w14:paraId="357C7FF8" w14:textId="77777777" w:rsidR="00F93EE5" w:rsidRPr="00F93EE5" w:rsidRDefault="00F93EE5" w:rsidP="006F32DD">
            <w:pPr>
              <w:widowControl w:val="0"/>
              <w:autoSpaceDE w:val="0"/>
              <w:autoSpaceDN w:val="0"/>
              <w:adjustRightInd w:val="0"/>
              <w:spacing w:line="400" w:lineRule="atLeast"/>
            </w:pPr>
            <w:r w:rsidRPr="00F93EE5">
              <w:t>9</w:t>
            </w:r>
          </w:p>
        </w:tc>
        <w:tc>
          <w:tcPr>
            <w:tcW w:w="1435" w:type="dxa"/>
          </w:tcPr>
          <w:p w14:paraId="04461D45" w14:textId="77777777" w:rsidR="00F93EE5" w:rsidRPr="00F93EE5" w:rsidRDefault="00F93EE5" w:rsidP="006F32DD">
            <w:pPr>
              <w:widowControl w:val="0"/>
              <w:autoSpaceDE w:val="0"/>
              <w:autoSpaceDN w:val="0"/>
              <w:adjustRightInd w:val="0"/>
              <w:spacing w:line="400" w:lineRule="atLeast"/>
            </w:pPr>
            <w:r w:rsidRPr="00F93EE5">
              <w:t>8.5</w:t>
            </w:r>
          </w:p>
        </w:tc>
        <w:tc>
          <w:tcPr>
            <w:tcW w:w="1599" w:type="dxa"/>
          </w:tcPr>
          <w:p w14:paraId="10DDA12F" w14:textId="77777777" w:rsidR="00F93EE5" w:rsidRPr="00F93EE5" w:rsidRDefault="00F93EE5" w:rsidP="006F32DD">
            <w:pPr>
              <w:widowControl w:val="0"/>
              <w:autoSpaceDE w:val="0"/>
              <w:autoSpaceDN w:val="0"/>
              <w:adjustRightInd w:val="0"/>
              <w:spacing w:line="400" w:lineRule="atLeast"/>
            </w:pPr>
            <w:r w:rsidRPr="00F93EE5">
              <w:t>0.94</w:t>
            </w:r>
          </w:p>
        </w:tc>
      </w:tr>
      <w:tr w:rsidR="00F93EE5" w:rsidRPr="00F93EE5" w14:paraId="024A2848" w14:textId="77777777" w:rsidTr="006F32DD">
        <w:tc>
          <w:tcPr>
            <w:tcW w:w="1936" w:type="dxa"/>
          </w:tcPr>
          <w:p w14:paraId="5B7F4C1C" w14:textId="77777777" w:rsidR="00F93EE5" w:rsidRPr="00F93EE5" w:rsidRDefault="00F93EE5" w:rsidP="006F32DD">
            <w:pPr>
              <w:widowControl w:val="0"/>
              <w:autoSpaceDE w:val="0"/>
              <w:autoSpaceDN w:val="0"/>
              <w:adjustRightInd w:val="0"/>
              <w:spacing w:line="400" w:lineRule="atLeast"/>
            </w:pPr>
            <w:r w:rsidRPr="00F93EE5">
              <w:t>Celulitis</w:t>
            </w:r>
          </w:p>
        </w:tc>
        <w:tc>
          <w:tcPr>
            <w:tcW w:w="1929" w:type="dxa"/>
          </w:tcPr>
          <w:p w14:paraId="3D97BA38" w14:textId="77777777" w:rsidR="00F93EE5" w:rsidRPr="00F93EE5" w:rsidRDefault="00F93EE5" w:rsidP="006F32DD">
            <w:pPr>
              <w:widowControl w:val="0"/>
              <w:autoSpaceDE w:val="0"/>
              <w:autoSpaceDN w:val="0"/>
              <w:adjustRightInd w:val="0"/>
              <w:spacing w:line="400" w:lineRule="atLeast"/>
            </w:pPr>
            <w:r w:rsidRPr="00F93EE5">
              <w:t>21.2</w:t>
            </w:r>
          </w:p>
        </w:tc>
        <w:tc>
          <w:tcPr>
            <w:tcW w:w="1929" w:type="dxa"/>
          </w:tcPr>
          <w:p w14:paraId="00CFCD57" w14:textId="77777777" w:rsidR="00F93EE5" w:rsidRPr="00F93EE5" w:rsidRDefault="00F93EE5" w:rsidP="006F32DD">
            <w:pPr>
              <w:widowControl w:val="0"/>
              <w:autoSpaceDE w:val="0"/>
              <w:autoSpaceDN w:val="0"/>
              <w:adjustRightInd w:val="0"/>
              <w:spacing w:line="400" w:lineRule="atLeast"/>
            </w:pPr>
            <w:r w:rsidRPr="00F93EE5">
              <w:t>63.6</w:t>
            </w:r>
          </w:p>
        </w:tc>
        <w:tc>
          <w:tcPr>
            <w:tcW w:w="1435" w:type="dxa"/>
          </w:tcPr>
          <w:p w14:paraId="3F0531A9" w14:textId="77777777" w:rsidR="00F93EE5" w:rsidRPr="00F93EE5" w:rsidRDefault="00F93EE5" w:rsidP="006F32DD">
            <w:pPr>
              <w:widowControl w:val="0"/>
              <w:autoSpaceDE w:val="0"/>
              <w:autoSpaceDN w:val="0"/>
              <w:adjustRightInd w:val="0"/>
              <w:spacing w:line="400" w:lineRule="atLeast"/>
            </w:pPr>
            <w:r w:rsidRPr="00F93EE5">
              <w:t>23.5</w:t>
            </w:r>
          </w:p>
        </w:tc>
        <w:tc>
          <w:tcPr>
            <w:tcW w:w="1599" w:type="dxa"/>
          </w:tcPr>
          <w:p w14:paraId="454EFCEF" w14:textId="77777777" w:rsidR="00F93EE5" w:rsidRPr="00F93EE5" w:rsidRDefault="00F93EE5" w:rsidP="006F32DD">
            <w:pPr>
              <w:widowControl w:val="0"/>
              <w:autoSpaceDE w:val="0"/>
              <w:autoSpaceDN w:val="0"/>
              <w:adjustRightInd w:val="0"/>
              <w:spacing w:line="400" w:lineRule="atLeast"/>
            </w:pPr>
            <w:r w:rsidRPr="00F93EE5">
              <w:t>0.001</w:t>
            </w:r>
          </w:p>
        </w:tc>
      </w:tr>
      <w:tr w:rsidR="00F93EE5" w:rsidRPr="00F93EE5" w14:paraId="34C28F84" w14:textId="77777777" w:rsidTr="006F32DD">
        <w:tc>
          <w:tcPr>
            <w:tcW w:w="1936" w:type="dxa"/>
          </w:tcPr>
          <w:p w14:paraId="71F80242" w14:textId="77777777" w:rsidR="00F93EE5" w:rsidRPr="00F93EE5" w:rsidRDefault="00F93EE5" w:rsidP="006F32DD">
            <w:pPr>
              <w:widowControl w:val="0"/>
              <w:autoSpaceDE w:val="0"/>
              <w:autoSpaceDN w:val="0"/>
              <w:adjustRightInd w:val="0"/>
              <w:spacing w:line="400" w:lineRule="atLeast"/>
            </w:pPr>
            <w:proofErr w:type="spellStart"/>
            <w:r w:rsidRPr="00F93EE5">
              <w:t>Hb</w:t>
            </w:r>
            <w:proofErr w:type="spellEnd"/>
            <w:r w:rsidRPr="00F93EE5">
              <w:t xml:space="preserve"> baja</w:t>
            </w:r>
          </w:p>
        </w:tc>
        <w:tc>
          <w:tcPr>
            <w:tcW w:w="1929" w:type="dxa"/>
          </w:tcPr>
          <w:p w14:paraId="527B8F58" w14:textId="77777777" w:rsidR="00F93EE5" w:rsidRPr="00F93EE5" w:rsidRDefault="00F93EE5" w:rsidP="006F32DD">
            <w:pPr>
              <w:widowControl w:val="0"/>
              <w:autoSpaceDE w:val="0"/>
              <w:autoSpaceDN w:val="0"/>
              <w:adjustRightInd w:val="0"/>
              <w:spacing w:line="400" w:lineRule="atLeast"/>
            </w:pPr>
            <w:r w:rsidRPr="00F93EE5">
              <w:t>50,9</w:t>
            </w:r>
          </w:p>
        </w:tc>
        <w:tc>
          <w:tcPr>
            <w:tcW w:w="1929" w:type="dxa"/>
          </w:tcPr>
          <w:p w14:paraId="69370CFD" w14:textId="77777777" w:rsidR="00F93EE5" w:rsidRPr="00F93EE5" w:rsidRDefault="00F93EE5" w:rsidP="006F32DD">
            <w:pPr>
              <w:widowControl w:val="0"/>
              <w:autoSpaceDE w:val="0"/>
              <w:autoSpaceDN w:val="0"/>
              <w:adjustRightInd w:val="0"/>
              <w:spacing w:line="400" w:lineRule="atLeast"/>
            </w:pPr>
            <w:r w:rsidRPr="00F93EE5">
              <w:t>36,4</w:t>
            </w:r>
          </w:p>
        </w:tc>
        <w:tc>
          <w:tcPr>
            <w:tcW w:w="1435" w:type="dxa"/>
          </w:tcPr>
          <w:p w14:paraId="7FFA46EF" w14:textId="77777777" w:rsidR="00F93EE5" w:rsidRPr="00F93EE5" w:rsidRDefault="00F93EE5" w:rsidP="006F32DD">
            <w:pPr>
              <w:widowControl w:val="0"/>
              <w:autoSpaceDE w:val="0"/>
              <w:autoSpaceDN w:val="0"/>
              <w:adjustRightInd w:val="0"/>
              <w:spacing w:line="400" w:lineRule="atLeast"/>
            </w:pPr>
            <w:r w:rsidRPr="00F93EE5">
              <w:t>49,6</w:t>
            </w:r>
          </w:p>
        </w:tc>
        <w:tc>
          <w:tcPr>
            <w:tcW w:w="1599" w:type="dxa"/>
          </w:tcPr>
          <w:p w14:paraId="3F8036C9" w14:textId="77777777" w:rsidR="00F93EE5" w:rsidRPr="00F93EE5" w:rsidRDefault="00F93EE5" w:rsidP="006F32DD">
            <w:pPr>
              <w:widowControl w:val="0"/>
              <w:autoSpaceDE w:val="0"/>
              <w:autoSpaceDN w:val="0"/>
              <w:adjustRightInd w:val="0"/>
              <w:spacing w:line="400" w:lineRule="atLeast"/>
            </w:pPr>
            <w:r w:rsidRPr="00F93EE5">
              <w:t>0,36</w:t>
            </w:r>
          </w:p>
        </w:tc>
      </w:tr>
      <w:tr w:rsidR="00F93EE5" w:rsidRPr="00F93EE5" w14:paraId="7FC0F497" w14:textId="77777777" w:rsidTr="006F32DD">
        <w:tc>
          <w:tcPr>
            <w:tcW w:w="1936" w:type="dxa"/>
          </w:tcPr>
          <w:p w14:paraId="27089445" w14:textId="77777777" w:rsidR="00F93EE5" w:rsidRPr="00F93EE5" w:rsidRDefault="00F93EE5" w:rsidP="006F32DD">
            <w:pPr>
              <w:widowControl w:val="0"/>
              <w:autoSpaceDE w:val="0"/>
              <w:autoSpaceDN w:val="0"/>
              <w:adjustRightInd w:val="0"/>
              <w:spacing w:line="400" w:lineRule="atLeast"/>
            </w:pPr>
            <w:proofErr w:type="spellStart"/>
            <w:r w:rsidRPr="00F93EE5">
              <w:t>Reticulocitos</w:t>
            </w:r>
            <w:proofErr w:type="spellEnd"/>
            <w:r w:rsidRPr="00F93EE5">
              <w:t xml:space="preserve"> &gt;1,5%</w:t>
            </w:r>
          </w:p>
        </w:tc>
        <w:tc>
          <w:tcPr>
            <w:tcW w:w="1929" w:type="dxa"/>
          </w:tcPr>
          <w:p w14:paraId="0F2CE254" w14:textId="77777777" w:rsidR="00F93EE5" w:rsidRPr="00F93EE5" w:rsidRDefault="00F93EE5" w:rsidP="006F32DD">
            <w:pPr>
              <w:widowControl w:val="0"/>
              <w:autoSpaceDE w:val="0"/>
              <w:autoSpaceDN w:val="0"/>
              <w:adjustRightInd w:val="0"/>
              <w:spacing w:line="400" w:lineRule="atLeast"/>
            </w:pPr>
            <w:r w:rsidRPr="00F93EE5">
              <w:t>43,8</w:t>
            </w:r>
          </w:p>
        </w:tc>
        <w:tc>
          <w:tcPr>
            <w:tcW w:w="1929" w:type="dxa"/>
          </w:tcPr>
          <w:p w14:paraId="47F35A07" w14:textId="77777777" w:rsidR="00F93EE5" w:rsidRPr="00F93EE5" w:rsidRDefault="00F93EE5" w:rsidP="006F32DD">
            <w:pPr>
              <w:widowControl w:val="0"/>
              <w:autoSpaceDE w:val="0"/>
              <w:autoSpaceDN w:val="0"/>
              <w:adjustRightInd w:val="0"/>
              <w:spacing w:line="400" w:lineRule="atLeast"/>
            </w:pPr>
            <w:r w:rsidRPr="00F93EE5">
              <w:t>57,1</w:t>
            </w:r>
          </w:p>
        </w:tc>
        <w:tc>
          <w:tcPr>
            <w:tcW w:w="1435" w:type="dxa"/>
          </w:tcPr>
          <w:p w14:paraId="5DD18A25" w14:textId="77777777" w:rsidR="00F93EE5" w:rsidRPr="00F93EE5" w:rsidRDefault="00F93EE5" w:rsidP="006F32DD">
            <w:pPr>
              <w:widowControl w:val="0"/>
              <w:autoSpaceDE w:val="0"/>
              <w:autoSpaceDN w:val="0"/>
              <w:adjustRightInd w:val="0"/>
              <w:spacing w:line="400" w:lineRule="atLeast"/>
            </w:pPr>
            <w:r w:rsidRPr="00F93EE5">
              <w:t>47,8</w:t>
            </w:r>
          </w:p>
        </w:tc>
        <w:tc>
          <w:tcPr>
            <w:tcW w:w="1599" w:type="dxa"/>
          </w:tcPr>
          <w:p w14:paraId="4AAD91D8" w14:textId="77777777" w:rsidR="00F93EE5" w:rsidRPr="00F93EE5" w:rsidRDefault="00F93EE5" w:rsidP="006F32DD">
            <w:pPr>
              <w:widowControl w:val="0"/>
              <w:autoSpaceDE w:val="0"/>
              <w:autoSpaceDN w:val="0"/>
              <w:adjustRightInd w:val="0"/>
              <w:spacing w:line="400" w:lineRule="atLeast"/>
            </w:pPr>
            <w:r w:rsidRPr="00F93EE5">
              <w:t>0,55</w:t>
            </w:r>
          </w:p>
        </w:tc>
      </w:tr>
      <w:tr w:rsidR="00F93EE5" w:rsidRPr="00F93EE5" w14:paraId="17CF6B36" w14:textId="77777777" w:rsidTr="006F32DD">
        <w:tc>
          <w:tcPr>
            <w:tcW w:w="1936" w:type="dxa"/>
          </w:tcPr>
          <w:p w14:paraId="28743EFE" w14:textId="77777777" w:rsidR="00F93EE5" w:rsidRPr="00F93EE5" w:rsidRDefault="00F93EE5" w:rsidP="006F32DD">
            <w:pPr>
              <w:widowControl w:val="0"/>
              <w:autoSpaceDE w:val="0"/>
              <w:autoSpaceDN w:val="0"/>
              <w:adjustRightInd w:val="0"/>
              <w:spacing w:line="400" w:lineRule="atLeast"/>
            </w:pPr>
            <w:r w:rsidRPr="00F93EE5">
              <w:t>Leucocitosis</w:t>
            </w:r>
          </w:p>
        </w:tc>
        <w:tc>
          <w:tcPr>
            <w:tcW w:w="1929" w:type="dxa"/>
          </w:tcPr>
          <w:p w14:paraId="0EA14CC0" w14:textId="77777777" w:rsidR="00F93EE5" w:rsidRPr="00F93EE5" w:rsidRDefault="00F93EE5" w:rsidP="006F32DD">
            <w:pPr>
              <w:widowControl w:val="0"/>
              <w:autoSpaceDE w:val="0"/>
              <w:autoSpaceDN w:val="0"/>
              <w:adjustRightInd w:val="0"/>
              <w:spacing w:line="400" w:lineRule="atLeast"/>
            </w:pPr>
            <w:r w:rsidRPr="00F93EE5">
              <w:t>22,7</w:t>
            </w:r>
          </w:p>
        </w:tc>
        <w:tc>
          <w:tcPr>
            <w:tcW w:w="1929" w:type="dxa"/>
          </w:tcPr>
          <w:p w14:paraId="5D0A173F" w14:textId="77777777" w:rsidR="00F93EE5" w:rsidRPr="00F93EE5" w:rsidRDefault="00F93EE5" w:rsidP="006F32DD">
            <w:pPr>
              <w:widowControl w:val="0"/>
              <w:autoSpaceDE w:val="0"/>
              <w:autoSpaceDN w:val="0"/>
              <w:adjustRightInd w:val="0"/>
              <w:spacing w:line="400" w:lineRule="atLeast"/>
            </w:pPr>
            <w:r w:rsidRPr="00F93EE5">
              <w:t>54,6</w:t>
            </w:r>
          </w:p>
        </w:tc>
        <w:tc>
          <w:tcPr>
            <w:tcW w:w="1435" w:type="dxa"/>
          </w:tcPr>
          <w:p w14:paraId="672AC040" w14:textId="77777777" w:rsidR="00F93EE5" w:rsidRPr="00F93EE5" w:rsidRDefault="00F93EE5" w:rsidP="006F32DD">
            <w:pPr>
              <w:widowControl w:val="0"/>
              <w:autoSpaceDE w:val="0"/>
              <w:autoSpaceDN w:val="0"/>
              <w:adjustRightInd w:val="0"/>
              <w:spacing w:line="400" w:lineRule="atLeast"/>
            </w:pPr>
            <w:r w:rsidRPr="00F93EE5">
              <w:t>25,6</w:t>
            </w:r>
          </w:p>
        </w:tc>
        <w:tc>
          <w:tcPr>
            <w:tcW w:w="1599" w:type="dxa"/>
          </w:tcPr>
          <w:p w14:paraId="6E1E3475" w14:textId="77777777" w:rsidR="00F93EE5" w:rsidRPr="00F93EE5" w:rsidRDefault="00F93EE5" w:rsidP="006F32DD">
            <w:pPr>
              <w:widowControl w:val="0"/>
              <w:autoSpaceDE w:val="0"/>
              <w:autoSpaceDN w:val="0"/>
              <w:adjustRightInd w:val="0"/>
              <w:spacing w:line="400" w:lineRule="atLeast"/>
              <w:rPr>
                <w:b/>
                <w:bCs/>
              </w:rPr>
            </w:pPr>
            <w:r w:rsidRPr="00F93EE5">
              <w:rPr>
                <w:b/>
                <w:bCs/>
              </w:rPr>
              <w:t>0,021</w:t>
            </w:r>
          </w:p>
        </w:tc>
      </w:tr>
      <w:tr w:rsidR="00F93EE5" w:rsidRPr="00F93EE5" w14:paraId="6837F5D0" w14:textId="77777777" w:rsidTr="006F32DD">
        <w:tc>
          <w:tcPr>
            <w:tcW w:w="1936" w:type="dxa"/>
          </w:tcPr>
          <w:p w14:paraId="0B50B017" w14:textId="77777777" w:rsidR="00F93EE5" w:rsidRPr="00F93EE5" w:rsidRDefault="00F93EE5" w:rsidP="006F32DD">
            <w:pPr>
              <w:widowControl w:val="0"/>
              <w:autoSpaceDE w:val="0"/>
              <w:autoSpaceDN w:val="0"/>
              <w:adjustRightInd w:val="0"/>
              <w:spacing w:line="400" w:lineRule="atLeast"/>
            </w:pPr>
            <w:r w:rsidRPr="00F93EE5">
              <w:t>Leucopenia</w:t>
            </w:r>
          </w:p>
        </w:tc>
        <w:tc>
          <w:tcPr>
            <w:tcW w:w="1929" w:type="dxa"/>
          </w:tcPr>
          <w:p w14:paraId="3180220C" w14:textId="77777777" w:rsidR="00F93EE5" w:rsidRPr="00F93EE5" w:rsidRDefault="00F93EE5" w:rsidP="006F32DD">
            <w:pPr>
              <w:widowControl w:val="0"/>
              <w:autoSpaceDE w:val="0"/>
              <w:autoSpaceDN w:val="0"/>
              <w:adjustRightInd w:val="0"/>
              <w:spacing w:line="400" w:lineRule="atLeast"/>
            </w:pPr>
            <w:r w:rsidRPr="00F93EE5">
              <w:t>0</w:t>
            </w:r>
          </w:p>
        </w:tc>
        <w:tc>
          <w:tcPr>
            <w:tcW w:w="1929" w:type="dxa"/>
          </w:tcPr>
          <w:p w14:paraId="1BA6E8F9" w14:textId="77777777" w:rsidR="00F93EE5" w:rsidRPr="00F93EE5" w:rsidRDefault="00F93EE5" w:rsidP="006F32DD">
            <w:pPr>
              <w:widowControl w:val="0"/>
              <w:autoSpaceDE w:val="0"/>
              <w:autoSpaceDN w:val="0"/>
              <w:adjustRightInd w:val="0"/>
              <w:spacing w:line="400" w:lineRule="atLeast"/>
            </w:pPr>
            <w:r w:rsidRPr="00F93EE5">
              <w:t>9,1</w:t>
            </w:r>
          </w:p>
        </w:tc>
        <w:tc>
          <w:tcPr>
            <w:tcW w:w="1435" w:type="dxa"/>
          </w:tcPr>
          <w:p w14:paraId="6D445E4A" w14:textId="77777777" w:rsidR="00F93EE5" w:rsidRPr="00F93EE5" w:rsidRDefault="00F93EE5" w:rsidP="006F32DD">
            <w:pPr>
              <w:widowControl w:val="0"/>
              <w:autoSpaceDE w:val="0"/>
              <w:autoSpaceDN w:val="0"/>
              <w:adjustRightInd w:val="0"/>
              <w:spacing w:line="400" w:lineRule="atLeast"/>
            </w:pPr>
            <w:r w:rsidRPr="00F93EE5">
              <w:t>0,8</w:t>
            </w:r>
          </w:p>
        </w:tc>
        <w:tc>
          <w:tcPr>
            <w:tcW w:w="1599" w:type="dxa"/>
          </w:tcPr>
          <w:p w14:paraId="72E221CF" w14:textId="77777777" w:rsidR="00F93EE5" w:rsidRPr="00F93EE5" w:rsidRDefault="00F93EE5" w:rsidP="006F32DD">
            <w:pPr>
              <w:widowControl w:val="0"/>
              <w:autoSpaceDE w:val="0"/>
              <w:autoSpaceDN w:val="0"/>
              <w:adjustRightInd w:val="0"/>
              <w:spacing w:line="400" w:lineRule="atLeast"/>
            </w:pPr>
            <w:r w:rsidRPr="00F93EE5">
              <w:rPr>
                <w:b/>
              </w:rPr>
              <w:t>0,001</w:t>
            </w:r>
          </w:p>
        </w:tc>
      </w:tr>
      <w:tr w:rsidR="00F93EE5" w:rsidRPr="00F93EE5" w14:paraId="1FD08728" w14:textId="77777777" w:rsidTr="006F32DD">
        <w:tc>
          <w:tcPr>
            <w:tcW w:w="1936" w:type="dxa"/>
          </w:tcPr>
          <w:p w14:paraId="45DE10E4" w14:textId="77777777" w:rsidR="00F93EE5" w:rsidRPr="00F93EE5" w:rsidRDefault="00F93EE5" w:rsidP="006F32DD">
            <w:pPr>
              <w:widowControl w:val="0"/>
              <w:autoSpaceDE w:val="0"/>
              <w:autoSpaceDN w:val="0"/>
              <w:adjustRightInd w:val="0"/>
              <w:spacing w:line="400" w:lineRule="atLeast"/>
            </w:pPr>
            <w:r w:rsidRPr="00F93EE5">
              <w:t>Trombocitopenia</w:t>
            </w:r>
          </w:p>
        </w:tc>
        <w:tc>
          <w:tcPr>
            <w:tcW w:w="1929" w:type="dxa"/>
          </w:tcPr>
          <w:p w14:paraId="733ADCFB" w14:textId="77777777" w:rsidR="00F93EE5" w:rsidRPr="00F93EE5" w:rsidRDefault="00F93EE5" w:rsidP="006F32DD">
            <w:pPr>
              <w:widowControl w:val="0"/>
              <w:autoSpaceDE w:val="0"/>
              <w:autoSpaceDN w:val="0"/>
              <w:adjustRightInd w:val="0"/>
              <w:spacing w:line="400" w:lineRule="atLeast"/>
            </w:pPr>
            <w:r w:rsidRPr="00F93EE5">
              <w:t>2,7</w:t>
            </w:r>
          </w:p>
        </w:tc>
        <w:tc>
          <w:tcPr>
            <w:tcW w:w="1929" w:type="dxa"/>
          </w:tcPr>
          <w:p w14:paraId="343C8770" w14:textId="77777777" w:rsidR="00F93EE5" w:rsidRPr="00F93EE5" w:rsidRDefault="00F93EE5" w:rsidP="006F32DD">
            <w:pPr>
              <w:widowControl w:val="0"/>
              <w:autoSpaceDE w:val="0"/>
              <w:autoSpaceDN w:val="0"/>
              <w:adjustRightInd w:val="0"/>
              <w:spacing w:line="400" w:lineRule="atLeast"/>
            </w:pPr>
            <w:r w:rsidRPr="00F93EE5">
              <w:t>27,3</w:t>
            </w:r>
          </w:p>
        </w:tc>
        <w:tc>
          <w:tcPr>
            <w:tcW w:w="1435" w:type="dxa"/>
          </w:tcPr>
          <w:p w14:paraId="1124B014" w14:textId="77777777" w:rsidR="00F93EE5" w:rsidRPr="00F93EE5" w:rsidRDefault="00F93EE5" w:rsidP="006F32DD">
            <w:pPr>
              <w:widowControl w:val="0"/>
              <w:autoSpaceDE w:val="0"/>
              <w:autoSpaceDN w:val="0"/>
              <w:adjustRightInd w:val="0"/>
              <w:spacing w:line="400" w:lineRule="atLeast"/>
            </w:pPr>
            <w:r w:rsidRPr="00F93EE5">
              <w:t>5</w:t>
            </w:r>
          </w:p>
        </w:tc>
        <w:tc>
          <w:tcPr>
            <w:tcW w:w="1599" w:type="dxa"/>
          </w:tcPr>
          <w:p w14:paraId="4783A151" w14:textId="77777777" w:rsidR="00F93EE5" w:rsidRPr="00F93EE5" w:rsidRDefault="00F93EE5" w:rsidP="006F32DD">
            <w:pPr>
              <w:widowControl w:val="0"/>
              <w:autoSpaceDE w:val="0"/>
              <w:autoSpaceDN w:val="0"/>
              <w:adjustRightInd w:val="0"/>
              <w:spacing w:line="400" w:lineRule="atLeast"/>
            </w:pPr>
            <w:r w:rsidRPr="00F93EE5">
              <w:rPr>
                <w:b/>
              </w:rPr>
              <w:t>&lt;0,001</w:t>
            </w:r>
          </w:p>
        </w:tc>
      </w:tr>
      <w:tr w:rsidR="00F93EE5" w:rsidRPr="00F93EE5" w14:paraId="11CB6A75" w14:textId="77777777" w:rsidTr="006F32DD">
        <w:tc>
          <w:tcPr>
            <w:tcW w:w="1936" w:type="dxa"/>
          </w:tcPr>
          <w:p w14:paraId="1DDDBE22" w14:textId="77777777" w:rsidR="00F93EE5" w:rsidRPr="00F93EE5" w:rsidRDefault="00F93EE5" w:rsidP="006F32DD">
            <w:pPr>
              <w:widowControl w:val="0"/>
              <w:autoSpaceDE w:val="0"/>
              <w:autoSpaceDN w:val="0"/>
              <w:adjustRightInd w:val="0"/>
              <w:spacing w:line="400" w:lineRule="atLeast"/>
            </w:pPr>
            <w:proofErr w:type="spellStart"/>
            <w:r w:rsidRPr="00F93EE5">
              <w:t>Trombocitosis</w:t>
            </w:r>
            <w:proofErr w:type="spellEnd"/>
          </w:p>
        </w:tc>
        <w:tc>
          <w:tcPr>
            <w:tcW w:w="1929" w:type="dxa"/>
          </w:tcPr>
          <w:p w14:paraId="5ED3E575" w14:textId="77777777" w:rsidR="00F93EE5" w:rsidRPr="00F93EE5" w:rsidRDefault="00F93EE5" w:rsidP="006F32DD">
            <w:pPr>
              <w:widowControl w:val="0"/>
              <w:autoSpaceDE w:val="0"/>
              <w:autoSpaceDN w:val="0"/>
              <w:adjustRightInd w:val="0"/>
              <w:spacing w:line="400" w:lineRule="atLeast"/>
            </w:pPr>
            <w:r w:rsidRPr="00F93EE5">
              <w:t>0</w:t>
            </w:r>
          </w:p>
        </w:tc>
        <w:tc>
          <w:tcPr>
            <w:tcW w:w="1929" w:type="dxa"/>
          </w:tcPr>
          <w:p w14:paraId="0216A1CF" w14:textId="77777777" w:rsidR="00F93EE5" w:rsidRPr="00F93EE5" w:rsidRDefault="00F93EE5" w:rsidP="006F32DD">
            <w:pPr>
              <w:widowControl w:val="0"/>
              <w:autoSpaceDE w:val="0"/>
              <w:autoSpaceDN w:val="0"/>
              <w:adjustRightInd w:val="0"/>
              <w:spacing w:line="400" w:lineRule="atLeast"/>
            </w:pPr>
            <w:r w:rsidRPr="00F93EE5">
              <w:t>9,1</w:t>
            </w:r>
          </w:p>
        </w:tc>
        <w:tc>
          <w:tcPr>
            <w:tcW w:w="1435" w:type="dxa"/>
          </w:tcPr>
          <w:p w14:paraId="394A2FAE" w14:textId="77777777" w:rsidR="00F93EE5" w:rsidRPr="00F93EE5" w:rsidRDefault="00F93EE5" w:rsidP="006F32DD">
            <w:pPr>
              <w:widowControl w:val="0"/>
              <w:autoSpaceDE w:val="0"/>
              <w:autoSpaceDN w:val="0"/>
              <w:adjustRightInd w:val="0"/>
              <w:spacing w:line="400" w:lineRule="atLeast"/>
            </w:pPr>
            <w:r w:rsidRPr="00F93EE5">
              <w:t>0,8</w:t>
            </w:r>
          </w:p>
        </w:tc>
        <w:tc>
          <w:tcPr>
            <w:tcW w:w="1599" w:type="dxa"/>
          </w:tcPr>
          <w:p w14:paraId="6E1409DE" w14:textId="77777777" w:rsidR="00F93EE5" w:rsidRPr="00F93EE5" w:rsidRDefault="00F93EE5" w:rsidP="006F32DD">
            <w:pPr>
              <w:widowControl w:val="0"/>
              <w:autoSpaceDE w:val="0"/>
              <w:autoSpaceDN w:val="0"/>
              <w:adjustRightInd w:val="0"/>
              <w:spacing w:line="400" w:lineRule="atLeast"/>
            </w:pPr>
            <w:r w:rsidRPr="00F93EE5">
              <w:rPr>
                <w:b/>
              </w:rPr>
              <w:t>0,001</w:t>
            </w:r>
          </w:p>
        </w:tc>
      </w:tr>
      <w:tr w:rsidR="00F93EE5" w:rsidRPr="00F93EE5" w14:paraId="2C001DD2" w14:textId="77777777" w:rsidTr="006F32DD">
        <w:tc>
          <w:tcPr>
            <w:tcW w:w="1936" w:type="dxa"/>
          </w:tcPr>
          <w:p w14:paraId="43BFD80E" w14:textId="77777777" w:rsidR="00F93EE5" w:rsidRPr="00F93EE5" w:rsidRDefault="00F93EE5" w:rsidP="006F32DD">
            <w:pPr>
              <w:widowControl w:val="0"/>
              <w:autoSpaceDE w:val="0"/>
              <w:autoSpaceDN w:val="0"/>
              <w:adjustRightInd w:val="0"/>
              <w:spacing w:line="400" w:lineRule="atLeast"/>
            </w:pPr>
            <w:r w:rsidRPr="00F93EE5">
              <w:t>VHS elevada</w:t>
            </w:r>
          </w:p>
        </w:tc>
        <w:tc>
          <w:tcPr>
            <w:tcW w:w="1929" w:type="dxa"/>
          </w:tcPr>
          <w:p w14:paraId="31D06ADA" w14:textId="77777777" w:rsidR="00F93EE5" w:rsidRPr="00F93EE5" w:rsidRDefault="00F93EE5" w:rsidP="006F32DD">
            <w:pPr>
              <w:widowControl w:val="0"/>
              <w:autoSpaceDE w:val="0"/>
              <w:autoSpaceDN w:val="0"/>
              <w:adjustRightInd w:val="0"/>
              <w:spacing w:line="400" w:lineRule="atLeast"/>
            </w:pPr>
            <w:r w:rsidRPr="00F93EE5">
              <w:t>8,6</w:t>
            </w:r>
          </w:p>
        </w:tc>
        <w:tc>
          <w:tcPr>
            <w:tcW w:w="1929" w:type="dxa"/>
          </w:tcPr>
          <w:p w14:paraId="239FF7E7" w14:textId="77777777" w:rsidR="00F93EE5" w:rsidRPr="00F93EE5" w:rsidRDefault="00F93EE5" w:rsidP="006F32DD">
            <w:pPr>
              <w:widowControl w:val="0"/>
              <w:autoSpaceDE w:val="0"/>
              <w:autoSpaceDN w:val="0"/>
              <w:adjustRightInd w:val="0"/>
              <w:spacing w:line="400" w:lineRule="atLeast"/>
            </w:pPr>
            <w:r w:rsidRPr="00F93EE5">
              <w:t>12,5</w:t>
            </w:r>
          </w:p>
        </w:tc>
        <w:tc>
          <w:tcPr>
            <w:tcW w:w="1435" w:type="dxa"/>
          </w:tcPr>
          <w:p w14:paraId="4AF61011" w14:textId="77777777" w:rsidR="00F93EE5" w:rsidRPr="00F93EE5" w:rsidRDefault="00F93EE5" w:rsidP="006F32DD">
            <w:pPr>
              <w:widowControl w:val="0"/>
              <w:autoSpaceDE w:val="0"/>
              <w:autoSpaceDN w:val="0"/>
              <w:adjustRightInd w:val="0"/>
              <w:spacing w:line="400" w:lineRule="atLeast"/>
            </w:pPr>
            <w:r w:rsidRPr="00F93EE5">
              <w:t>9</w:t>
            </w:r>
          </w:p>
        </w:tc>
        <w:tc>
          <w:tcPr>
            <w:tcW w:w="1599" w:type="dxa"/>
          </w:tcPr>
          <w:p w14:paraId="5CD32A06" w14:textId="77777777" w:rsidR="00F93EE5" w:rsidRPr="00F93EE5" w:rsidRDefault="00F93EE5" w:rsidP="006F32DD">
            <w:pPr>
              <w:widowControl w:val="0"/>
              <w:autoSpaceDE w:val="0"/>
              <w:autoSpaceDN w:val="0"/>
              <w:adjustRightInd w:val="0"/>
              <w:spacing w:line="400" w:lineRule="atLeast"/>
            </w:pPr>
            <w:r w:rsidRPr="00F93EE5">
              <w:t>0,71</w:t>
            </w:r>
          </w:p>
        </w:tc>
      </w:tr>
      <w:tr w:rsidR="00F93EE5" w:rsidRPr="00F93EE5" w14:paraId="6122C409" w14:textId="77777777" w:rsidTr="006F32DD">
        <w:tc>
          <w:tcPr>
            <w:tcW w:w="1936" w:type="dxa"/>
          </w:tcPr>
          <w:p w14:paraId="1B84BB83" w14:textId="77777777" w:rsidR="00F93EE5" w:rsidRPr="00F93EE5" w:rsidRDefault="00F93EE5" w:rsidP="006F32DD">
            <w:pPr>
              <w:widowControl w:val="0"/>
              <w:autoSpaceDE w:val="0"/>
              <w:autoSpaceDN w:val="0"/>
              <w:adjustRightInd w:val="0"/>
              <w:spacing w:line="400" w:lineRule="atLeast"/>
            </w:pPr>
            <w:r w:rsidRPr="00F93EE5">
              <w:t>PCR elevada</w:t>
            </w:r>
          </w:p>
        </w:tc>
        <w:tc>
          <w:tcPr>
            <w:tcW w:w="1929" w:type="dxa"/>
          </w:tcPr>
          <w:p w14:paraId="4E1A493C" w14:textId="77777777" w:rsidR="00F93EE5" w:rsidRPr="00F93EE5" w:rsidRDefault="00F93EE5" w:rsidP="006F32DD">
            <w:pPr>
              <w:widowControl w:val="0"/>
              <w:autoSpaceDE w:val="0"/>
              <w:autoSpaceDN w:val="0"/>
              <w:adjustRightInd w:val="0"/>
              <w:spacing w:line="400" w:lineRule="atLeast"/>
            </w:pPr>
            <w:r w:rsidRPr="00F93EE5">
              <w:t>44,6</w:t>
            </w:r>
          </w:p>
        </w:tc>
        <w:tc>
          <w:tcPr>
            <w:tcW w:w="1929" w:type="dxa"/>
          </w:tcPr>
          <w:p w14:paraId="617868EC" w14:textId="77777777" w:rsidR="00F93EE5" w:rsidRPr="00F93EE5" w:rsidRDefault="00F93EE5" w:rsidP="006F32DD">
            <w:pPr>
              <w:widowControl w:val="0"/>
              <w:autoSpaceDE w:val="0"/>
              <w:autoSpaceDN w:val="0"/>
              <w:adjustRightInd w:val="0"/>
              <w:spacing w:line="400" w:lineRule="atLeast"/>
            </w:pPr>
            <w:r w:rsidRPr="00F93EE5">
              <w:t>90,9</w:t>
            </w:r>
          </w:p>
        </w:tc>
        <w:tc>
          <w:tcPr>
            <w:tcW w:w="1435" w:type="dxa"/>
          </w:tcPr>
          <w:p w14:paraId="635E15AD" w14:textId="77777777" w:rsidR="00F93EE5" w:rsidRPr="00F93EE5" w:rsidRDefault="00F93EE5" w:rsidP="006F32DD">
            <w:pPr>
              <w:widowControl w:val="0"/>
              <w:autoSpaceDE w:val="0"/>
              <w:autoSpaceDN w:val="0"/>
              <w:adjustRightInd w:val="0"/>
              <w:spacing w:line="400" w:lineRule="atLeast"/>
            </w:pPr>
            <w:r w:rsidRPr="00F93EE5">
              <w:t>51,3</w:t>
            </w:r>
          </w:p>
        </w:tc>
        <w:tc>
          <w:tcPr>
            <w:tcW w:w="1599" w:type="dxa"/>
          </w:tcPr>
          <w:p w14:paraId="2B7275ED" w14:textId="77777777" w:rsidR="00F93EE5" w:rsidRPr="00F93EE5" w:rsidRDefault="00F93EE5" w:rsidP="006F32DD">
            <w:pPr>
              <w:widowControl w:val="0"/>
              <w:autoSpaceDE w:val="0"/>
              <w:autoSpaceDN w:val="0"/>
              <w:adjustRightInd w:val="0"/>
              <w:spacing w:line="400" w:lineRule="atLeast"/>
            </w:pPr>
            <w:r w:rsidRPr="00F93EE5">
              <w:rPr>
                <w:b/>
              </w:rPr>
              <w:t>0,004</w:t>
            </w:r>
          </w:p>
        </w:tc>
      </w:tr>
      <w:tr w:rsidR="00F93EE5" w:rsidRPr="00F93EE5" w14:paraId="75F4564E" w14:textId="77777777" w:rsidTr="006F32DD">
        <w:tc>
          <w:tcPr>
            <w:tcW w:w="1936" w:type="dxa"/>
          </w:tcPr>
          <w:p w14:paraId="0DC77D4A" w14:textId="77777777" w:rsidR="00F93EE5" w:rsidRPr="00F93EE5" w:rsidRDefault="00F93EE5" w:rsidP="006F32DD">
            <w:pPr>
              <w:widowControl w:val="0"/>
              <w:autoSpaceDE w:val="0"/>
              <w:autoSpaceDN w:val="0"/>
              <w:adjustRightInd w:val="0"/>
              <w:spacing w:line="400" w:lineRule="atLeast"/>
            </w:pPr>
            <w:r w:rsidRPr="00F93EE5">
              <w:t>LDH elevada</w:t>
            </w:r>
          </w:p>
        </w:tc>
        <w:tc>
          <w:tcPr>
            <w:tcW w:w="1929" w:type="dxa"/>
          </w:tcPr>
          <w:p w14:paraId="391E4890" w14:textId="77777777" w:rsidR="00F93EE5" w:rsidRPr="00F93EE5" w:rsidRDefault="00F93EE5" w:rsidP="006F32DD">
            <w:pPr>
              <w:widowControl w:val="0"/>
              <w:autoSpaceDE w:val="0"/>
              <w:autoSpaceDN w:val="0"/>
              <w:adjustRightInd w:val="0"/>
              <w:spacing w:line="400" w:lineRule="atLeast"/>
            </w:pPr>
            <w:r w:rsidRPr="00F93EE5">
              <w:t>21,4</w:t>
            </w:r>
          </w:p>
        </w:tc>
        <w:tc>
          <w:tcPr>
            <w:tcW w:w="1929" w:type="dxa"/>
          </w:tcPr>
          <w:p w14:paraId="59D29D7E" w14:textId="77777777" w:rsidR="00F93EE5" w:rsidRPr="00F93EE5" w:rsidRDefault="00F93EE5" w:rsidP="006F32DD">
            <w:pPr>
              <w:widowControl w:val="0"/>
              <w:autoSpaceDE w:val="0"/>
              <w:autoSpaceDN w:val="0"/>
              <w:adjustRightInd w:val="0"/>
              <w:spacing w:line="400" w:lineRule="atLeast"/>
            </w:pPr>
            <w:r w:rsidRPr="00F93EE5">
              <w:t>45,5</w:t>
            </w:r>
          </w:p>
        </w:tc>
        <w:tc>
          <w:tcPr>
            <w:tcW w:w="1435" w:type="dxa"/>
          </w:tcPr>
          <w:p w14:paraId="7FF0DB2A" w14:textId="77777777" w:rsidR="00F93EE5" w:rsidRPr="00F93EE5" w:rsidRDefault="00F93EE5" w:rsidP="006F32DD">
            <w:pPr>
              <w:widowControl w:val="0"/>
              <w:autoSpaceDE w:val="0"/>
              <w:autoSpaceDN w:val="0"/>
              <w:adjustRightInd w:val="0"/>
              <w:spacing w:line="400" w:lineRule="atLeast"/>
            </w:pPr>
            <w:r w:rsidRPr="00F93EE5">
              <w:t>25,4</w:t>
            </w:r>
          </w:p>
        </w:tc>
        <w:tc>
          <w:tcPr>
            <w:tcW w:w="1599" w:type="dxa"/>
          </w:tcPr>
          <w:p w14:paraId="5614C5C7" w14:textId="77777777" w:rsidR="00F93EE5" w:rsidRPr="00F93EE5" w:rsidRDefault="00F93EE5" w:rsidP="006F32DD">
            <w:pPr>
              <w:widowControl w:val="0"/>
              <w:autoSpaceDE w:val="0"/>
              <w:autoSpaceDN w:val="0"/>
              <w:adjustRightInd w:val="0"/>
              <w:spacing w:line="400" w:lineRule="atLeast"/>
            </w:pPr>
            <w:r w:rsidRPr="00F93EE5">
              <w:t>0,094</w:t>
            </w:r>
          </w:p>
        </w:tc>
      </w:tr>
      <w:tr w:rsidR="00F93EE5" w:rsidRPr="00F93EE5" w14:paraId="15808334" w14:textId="77777777" w:rsidTr="006F32DD">
        <w:tc>
          <w:tcPr>
            <w:tcW w:w="1936" w:type="dxa"/>
          </w:tcPr>
          <w:p w14:paraId="399FE792" w14:textId="77777777" w:rsidR="00F93EE5" w:rsidRPr="00F93EE5" w:rsidRDefault="00F93EE5" w:rsidP="006F32DD">
            <w:pPr>
              <w:widowControl w:val="0"/>
              <w:autoSpaceDE w:val="0"/>
              <w:autoSpaceDN w:val="0"/>
              <w:adjustRightInd w:val="0"/>
              <w:spacing w:line="400" w:lineRule="atLeast"/>
            </w:pPr>
            <w:r w:rsidRPr="00F93EE5">
              <w:t>GOT elevada</w:t>
            </w:r>
          </w:p>
        </w:tc>
        <w:tc>
          <w:tcPr>
            <w:tcW w:w="1929" w:type="dxa"/>
          </w:tcPr>
          <w:p w14:paraId="4683A1FB" w14:textId="77777777" w:rsidR="00F93EE5" w:rsidRPr="00F93EE5" w:rsidRDefault="00F93EE5" w:rsidP="006F32DD">
            <w:pPr>
              <w:widowControl w:val="0"/>
              <w:autoSpaceDE w:val="0"/>
              <w:autoSpaceDN w:val="0"/>
              <w:adjustRightInd w:val="0"/>
              <w:spacing w:line="400" w:lineRule="atLeast"/>
            </w:pPr>
            <w:r w:rsidRPr="00F93EE5">
              <w:t>10,5</w:t>
            </w:r>
          </w:p>
        </w:tc>
        <w:tc>
          <w:tcPr>
            <w:tcW w:w="1929" w:type="dxa"/>
          </w:tcPr>
          <w:p w14:paraId="42EA0123" w14:textId="77777777" w:rsidR="00F93EE5" w:rsidRPr="00F93EE5" w:rsidRDefault="00F93EE5" w:rsidP="006F32DD">
            <w:pPr>
              <w:widowControl w:val="0"/>
              <w:autoSpaceDE w:val="0"/>
              <w:autoSpaceDN w:val="0"/>
              <w:adjustRightInd w:val="0"/>
              <w:spacing w:line="400" w:lineRule="atLeast"/>
            </w:pPr>
            <w:r w:rsidRPr="00F93EE5">
              <w:t>27,3</w:t>
            </w:r>
          </w:p>
        </w:tc>
        <w:tc>
          <w:tcPr>
            <w:tcW w:w="1435" w:type="dxa"/>
          </w:tcPr>
          <w:p w14:paraId="263A6539" w14:textId="77777777" w:rsidR="00F93EE5" w:rsidRPr="00F93EE5" w:rsidRDefault="00F93EE5" w:rsidP="006F32DD">
            <w:pPr>
              <w:widowControl w:val="0"/>
              <w:autoSpaceDE w:val="0"/>
              <w:autoSpaceDN w:val="0"/>
              <w:adjustRightInd w:val="0"/>
              <w:spacing w:line="400" w:lineRule="atLeast"/>
            </w:pPr>
            <w:r w:rsidRPr="00F93EE5">
              <w:t>12,3</w:t>
            </w:r>
          </w:p>
        </w:tc>
        <w:tc>
          <w:tcPr>
            <w:tcW w:w="1599" w:type="dxa"/>
          </w:tcPr>
          <w:p w14:paraId="2949F674" w14:textId="77777777" w:rsidR="00F93EE5" w:rsidRPr="00F93EE5" w:rsidRDefault="00F93EE5" w:rsidP="006F32DD">
            <w:pPr>
              <w:widowControl w:val="0"/>
              <w:autoSpaceDE w:val="0"/>
              <w:autoSpaceDN w:val="0"/>
              <w:adjustRightInd w:val="0"/>
              <w:spacing w:line="400" w:lineRule="atLeast"/>
            </w:pPr>
            <w:r w:rsidRPr="00F93EE5">
              <w:t>0,11</w:t>
            </w:r>
          </w:p>
        </w:tc>
      </w:tr>
      <w:tr w:rsidR="00F93EE5" w:rsidRPr="00F93EE5" w14:paraId="0ED66CC5" w14:textId="77777777" w:rsidTr="006F32DD">
        <w:tc>
          <w:tcPr>
            <w:tcW w:w="1936" w:type="dxa"/>
          </w:tcPr>
          <w:p w14:paraId="7E362B2B" w14:textId="77777777" w:rsidR="00F93EE5" w:rsidRPr="00F93EE5" w:rsidRDefault="00F93EE5" w:rsidP="006F32DD">
            <w:pPr>
              <w:widowControl w:val="0"/>
              <w:autoSpaceDE w:val="0"/>
              <w:autoSpaceDN w:val="0"/>
              <w:adjustRightInd w:val="0"/>
              <w:spacing w:line="400" w:lineRule="atLeast"/>
            </w:pPr>
            <w:r w:rsidRPr="00F93EE5">
              <w:t>GPT elevada</w:t>
            </w:r>
          </w:p>
        </w:tc>
        <w:tc>
          <w:tcPr>
            <w:tcW w:w="1929" w:type="dxa"/>
          </w:tcPr>
          <w:p w14:paraId="7F23032F" w14:textId="77777777" w:rsidR="00F93EE5" w:rsidRPr="00F93EE5" w:rsidRDefault="00F93EE5" w:rsidP="006F32DD">
            <w:pPr>
              <w:widowControl w:val="0"/>
              <w:autoSpaceDE w:val="0"/>
              <w:autoSpaceDN w:val="0"/>
              <w:adjustRightInd w:val="0"/>
              <w:spacing w:line="400" w:lineRule="atLeast"/>
            </w:pPr>
            <w:r w:rsidRPr="00F93EE5">
              <w:t>25</w:t>
            </w:r>
          </w:p>
        </w:tc>
        <w:tc>
          <w:tcPr>
            <w:tcW w:w="1929" w:type="dxa"/>
          </w:tcPr>
          <w:p w14:paraId="7D3E17EF" w14:textId="77777777" w:rsidR="00F93EE5" w:rsidRPr="00F93EE5" w:rsidRDefault="00F93EE5" w:rsidP="006F32DD">
            <w:pPr>
              <w:widowControl w:val="0"/>
              <w:autoSpaceDE w:val="0"/>
              <w:autoSpaceDN w:val="0"/>
              <w:adjustRightInd w:val="0"/>
              <w:spacing w:line="400" w:lineRule="atLeast"/>
            </w:pPr>
            <w:r w:rsidRPr="00F93EE5">
              <w:t>60</w:t>
            </w:r>
          </w:p>
        </w:tc>
        <w:tc>
          <w:tcPr>
            <w:tcW w:w="1435" w:type="dxa"/>
          </w:tcPr>
          <w:p w14:paraId="52292163" w14:textId="77777777" w:rsidR="00F93EE5" w:rsidRPr="00F93EE5" w:rsidRDefault="00F93EE5" w:rsidP="006F32DD">
            <w:pPr>
              <w:widowControl w:val="0"/>
              <w:autoSpaceDE w:val="0"/>
              <w:autoSpaceDN w:val="0"/>
              <w:adjustRightInd w:val="0"/>
              <w:spacing w:line="400" w:lineRule="atLeast"/>
            </w:pPr>
            <w:r w:rsidRPr="00F93EE5">
              <w:t>28,7</w:t>
            </w:r>
          </w:p>
        </w:tc>
        <w:tc>
          <w:tcPr>
            <w:tcW w:w="1599" w:type="dxa"/>
          </w:tcPr>
          <w:p w14:paraId="0EF2ACA8" w14:textId="77777777" w:rsidR="00F93EE5" w:rsidRPr="00F93EE5" w:rsidRDefault="00F93EE5" w:rsidP="006F32DD">
            <w:pPr>
              <w:widowControl w:val="0"/>
              <w:autoSpaceDE w:val="0"/>
              <w:autoSpaceDN w:val="0"/>
              <w:adjustRightInd w:val="0"/>
              <w:spacing w:line="400" w:lineRule="atLeast"/>
            </w:pPr>
            <w:r w:rsidRPr="00F93EE5">
              <w:rPr>
                <w:b/>
              </w:rPr>
              <w:t>0,021</w:t>
            </w:r>
          </w:p>
        </w:tc>
      </w:tr>
      <w:tr w:rsidR="00F93EE5" w:rsidRPr="00F93EE5" w14:paraId="460C9275" w14:textId="77777777" w:rsidTr="006F32DD">
        <w:tc>
          <w:tcPr>
            <w:tcW w:w="1936" w:type="dxa"/>
          </w:tcPr>
          <w:p w14:paraId="53177CD5" w14:textId="77777777" w:rsidR="00F93EE5" w:rsidRPr="00F93EE5" w:rsidRDefault="00F93EE5" w:rsidP="006F32DD">
            <w:pPr>
              <w:widowControl w:val="0"/>
              <w:autoSpaceDE w:val="0"/>
              <w:autoSpaceDN w:val="0"/>
              <w:adjustRightInd w:val="0"/>
              <w:spacing w:line="400" w:lineRule="atLeast"/>
            </w:pPr>
            <w:r w:rsidRPr="00F93EE5">
              <w:t>GGT elevada</w:t>
            </w:r>
          </w:p>
        </w:tc>
        <w:tc>
          <w:tcPr>
            <w:tcW w:w="1929" w:type="dxa"/>
          </w:tcPr>
          <w:p w14:paraId="471CEB38" w14:textId="77777777" w:rsidR="00F93EE5" w:rsidRPr="00F93EE5" w:rsidRDefault="00F93EE5" w:rsidP="006F32DD">
            <w:pPr>
              <w:widowControl w:val="0"/>
              <w:autoSpaceDE w:val="0"/>
              <w:autoSpaceDN w:val="0"/>
              <w:adjustRightInd w:val="0"/>
              <w:spacing w:line="400" w:lineRule="atLeast"/>
            </w:pPr>
            <w:r w:rsidRPr="00F93EE5">
              <w:t>40,5</w:t>
            </w:r>
          </w:p>
        </w:tc>
        <w:tc>
          <w:tcPr>
            <w:tcW w:w="1929" w:type="dxa"/>
          </w:tcPr>
          <w:p w14:paraId="3B789624" w14:textId="77777777" w:rsidR="00F93EE5" w:rsidRPr="00F93EE5" w:rsidRDefault="00F93EE5" w:rsidP="006F32DD">
            <w:pPr>
              <w:widowControl w:val="0"/>
              <w:autoSpaceDE w:val="0"/>
              <w:autoSpaceDN w:val="0"/>
              <w:adjustRightInd w:val="0"/>
              <w:spacing w:line="400" w:lineRule="atLeast"/>
            </w:pPr>
            <w:r w:rsidRPr="00F93EE5">
              <w:t>70</w:t>
            </w:r>
          </w:p>
        </w:tc>
        <w:tc>
          <w:tcPr>
            <w:tcW w:w="1435" w:type="dxa"/>
          </w:tcPr>
          <w:p w14:paraId="1C24B1E8" w14:textId="77777777" w:rsidR="00F93EE5" w:rsidRPr="00F93EE5" w:rsidRDefault="00F93EE5" w:rsidP="006F32DD">
            <w:pPr>
              <w:widowControl w:val="0"/>
              <w:autoSpaceDE w:val="0"/>
              <w:autoSpaceDN w:val="0"/>
              <w:adjustRightInd w:val="0"/>
              <w:spacing w:line="400" w:lineRule="atLeast"/>
            </w:pPr>
            <w:r w:rsidRPr="00F93EE5">
              <w:t>44,1</w:t>
            </w:r>
          </w:p>
        </w:tc>
        <w:tc>
          <w:tcPr>
            <w:tcW w:w="1599" w:type="dxa"/>
          </w:tcPr>
          <w:p w14:paraId="46C9C80E" w14:textId="77777777" w:rsidR="00F93EE5" w:rsidRPr="00F93EE5" w:rsidRDefault="00F93EE5" w:rsidP="006F32DD">
            <w:pPr>
              <w:widowControl w:val="0"/>
              <w:autoSpaceDE w:val="0"/>
              <w:autoSpaceDN w:val="0"/>
              <w:adjustRightInd w:val="0"/>
              <w:spacing w:line="400" w:lineRule="atLeast"/>
              <w:rPr>
                <w:bCs/>
              </w:rPr>
            </w:pPr>
            <w:r w:rsidRPr="00F93EE5">
              <w:rPr>
                <w:bCs/>
              </w:rPr>
              <w:t>0,078</w:t>
            </w:r>
          </w:p>
        </w:tc>
      </w:tr>
      <w:tr w:rsidR="00F93EE5" w:rsidRPr="00F93EE5" w14:paraId="45E6E7F0" w14:textId="77777777" w:rsidTr="006F32DD">
        <w:tc>
          <w:tcPr>
            <w:tcW w:w="1936" w:type="dxa"/>
          </w:tcPr>
          <w:p w14:paraId="6B5B7662" w14:textId="77777777" w:rsidR="00F93EE5" w:rsidRPr="00F93EE5" w:rsidRDefault="00F93EE5" w:rsidP="006F32DD">
            <w:pPr>
              <w:widowControl w:val="0"/>
              <w:autoSpaceDE w:val="0"/>
              <w:autoSpaceDN w:val="0"/>
              <w:adjustRightInd w:val="0"/>
              <w:spacing w:line="400" w:lineRule="atLeast"/>
            </w:pPr>
            <w:proofErr w:type="spellStart"/>
            <w:r w:rsidRPr="00F93EE5">
              <w:t>Bl</w:t>
            </w:r>
            <w:proofErr w:type="spellEnd"/>
            <w:r w:rsidRPr="00F93EE5">
              <w:t xml:space="preserve"> total elevada</w:t>
            </w:r>
          </w:p>
        </w:tc>
        <w:tc>
          <w:tcPr>
            <w:tcW w:w="1929" w:type="dxa"/>
          </w:tcPr>
          <w:p w14:paraId="2ED96C50" w14:textId="77777777" w:rsidR="00F93EE5" w:rsidRPr="00F93EE5" w:rsidRDefault="00F93EE5" w:rsidP="006F32DD">
            <w:pPr>
              <w:widowControl w:val="0"/>
              <w:autoSpaceDE w:val="0"/>
              <w:autoSpaceDN w:val="0"/>
              <w:adjustRightInd w:val="0"/>
              <w:spacing w:line="400" w:lineRule="atLeast"/>
            </w:pPr>
            <w:r w:rsidRPr="00F93EE5">
              <w:t>9,7</w:t>
            </w:r>
          </w:p>
        </w:tc>
        <w:tc>
          <w:tcPr>
            <w:tcW w:w="1929" w:type="dxa"/>
          </w:tcPr>
          <w:p w14:paraId="661D0350" w14:textId="77777777" w:rsidR="00F93EE5" w:rsidRPr="00F93EE5" w:rsidRDefault="00F93EE5" w:rsidP="006F32DD">
            <w:pPr>
              <w:widowControl w:val="0"/>
              <w:autoSpaceDE w:val="0"/>
              <w:autoSpaceDN w:val="0"/>
              <w:adjustRightInd w:val="0"/>
              <w:spacing w:line="400" w:lineRule="atLeast"/>
            </w:pPr>
            <w:r w:rsidRPr="00F93EE5">
              <w:t>30</w:t>
            </w:r>
          </w:p>
        </w:tc>
        <w:tc>
          <w:tcPr>
            <w:tcW w:w="1435" w:type="dxa"/>
          </w:tcPr>
          <w:p w14:paraId="0215147E" w14:textId="77777777" w:rsidR="00F93EE5" w:rsidRPr="00F93EE5" w:rsidRDefault="00F93EE5" w:rsidP="006F32DD">
            <w:pPr>
              <w:widowControl w:val="0"/>
              <w:autoSpaceDE w:val="0"/>
              <w:autoSpaceDN w:val="0"/>
              <w:adjustRightInd w:val="0"/>
              <w:spacing w:line="400" w:lineRule="atLeast"/>
            </w:pPr>
            <w:r w:rsidRPr="00F93EE5">
              <w:t>11,7</w:t>
            </w:r>
          </w:p>
        </w:tc>
        <w:tc>
          <w:tcPr>
            <w:tcW w:w="1599" w:type="dxa"/>
          </w:tcPr>
          <w:p w14:paraId="7DBFE5FC" w14:textId="77777777" w:rsidR="00F93EE5" w:rsidRPr="00F93EE5" w:rsidRDefault="00F93EE5" w:rsidP="006F32DD">
            <w:pPr>
              <w:widowControl w:val="0"/>
              <w:autoSpaceDE w:val="0"/>
              <w:autoSpaceDN w:val="0"/>
              <w:adjustRightInd w:val="0"/>
              <w:spacing w:line="400" w:lineRule="atLeast"/>
            </w:pPr>
            <w:r w:rsidRPr="00F93EE5">
              <w:t>0,057</w:t>
            </w:r>
          </w:p>
        </w:tc>
      </w:tr>
      <w:tr w:rsidR="00F93EE5" w:rsidRPr="00F93EE5" w14:paraId="206F7DA9" w14:textId="77777777" w:rsidTr="006F32DD">
        <w:tc>
          <w:tcPr>
            <w:tcW w:w="1936" w:type="dxa"/>
          </w:tcPr>
          <w:p w14:paraId="465CC89D" w14:textId="77777777" w:rsidR="00F93EE5" w:rsidRPr="00F93EE5" w:rsidRDefault="00F93EE5" w:rsidP="006F32DD">
            <w:pPr>
              <w:widowControl w:val="0"/>
              <w:autoSpaceDE w:val="0"/>
              <w:autoSpaceDN w:val="0"/>
              <w:adjustRightInd w:val="0"/>
              <w:spacing w:line="400" w:lineRule="atLeast"/>
            </w:pPr>
            <w:proofErr w:type="spellStart"/>
            <w:r w:rsidRPr="00F93EE5">
              <w:t>Bl</w:t>
            </w:r>
            <w:proofErr w:type="spellEnd"/>
            <w:r w:rsidRPr="00F93EE5">
              <w:t xml:space="preserve"> Indirecta elevada</w:t>
            </w:r>
          </w:p>
        </w:tc>
        <w:tc>
          <w:tcPr>
            <w:tcW w:w="1929" w:type="dxa"/>
          </w:tcPr>
          <w:p w14:paraId="7089147C" w14:textId="77777777" w:rsidR="00F93EE5" w:rsidRPr="00F93EE5" w:rsidRDefault="00F93EE5" w:rsidP="006F32DD">
            <w:pPr>
              <w:widowControl w:val="0"/>
              <w:autoSpaceDE w:val="0"/>
              <w:autoSpaceDN w:val="0"/>
              <w:adjustRightInd w:val="0"/>
              <w:spacing w:line="400" w:lineRule="atLeast"/>
            </w:pPr>
            <w:r w:rsidRPr="00F93EE5">
              <w:t>9,7</w:t>
            </w:r>
          </w:p>
        </w:tc>
        <w:tc>
          <w:tcPr>
            <w:tcW w:w="1929" w:type="dxa"/>
          </w:tcPr>
          <w:p w14:paraId="55E3D700" w14:textId="77777777" w:rsidR="00F93EE5" w:rsidRPr="00F93EE5" w:rsidRDefault="00F93EE5" w:rsidP="006F32DD">
            <w:pPr>
              <w:widowControl w:val="0"/>
              <w:autoSpaceDE w:val="0"/>
              <w:autoSpaceDN w:val="0"/>
              <w:adjustRightInd w:val="0"/>
              <w:spacing w:line="400" w:lineRule="atLeast"/>
            </w:pPr>
            <w:r w:rsidRPr="00F93EE5">
              <w:t>30</w:t>
            </w:r>
          </w:p>
        </w:tc>
        <w:tc>
          <w:tcPr>
            <w:tcW w:w="1435" w:type="dxa"/>
          </w:tcPr>
          <w:p w14:paraId="20BC01E1" w14:textId="77777777" w:rsidR="00F93EE5" w:rsidRPr="00F93EE5" w:rsidRDefault="00F93EE5" w:rsidP="006F32DD">
            <w:pPr>
              <w:widowControl w:val="0"/>
              <w:autoSpaceDE w:val="0"/>
              <w:autoSpaceDN w:val="0"/>
              <w:adjustRightInd w:val="0"/>
              <w:spacing w:line="400" w:lineRule="atLeast"/>
            </w:pPr>
            <w:r w:rsidRPr="00F93EE5">
              <w:t>11,7</w:t>
            </w:r>
          </w:p>
        </w:tc>
        <w:tc>
          <w:tcPr>
            <w:tcW w:w="1599" w:type="dxa"/>
          </w:tcPr>
          <w:p w14:paraId="67A0D746" w14:textId="77777777" w:rsidR="00F93EE5" w:rsidRPr="00F93EE5" w:rsidRDefault="00F93EE5" w:rsidP="006F32DD">
            <w:pPr>
              <w:widowControl w:val="0"/>
              <w:autoSpaceDE w:val="0"/>
              <w:autoSpaceDN w:val="0"/>
              <w:adjustRightInd w:val="0"/>
              <w:spacing w:line="400" w:lineRule="atLeast"/>
            </w:pPr>
            <w:r w:rsidRPr="00F93EE5">
              <w:t>0,057</w:t>
            </w:r>
          </w:p>
        </w:tc>
      </w:tr>
      <w:tr w:rsidR="00F93EE5" w:rsidRPr="00F93EE5" w14:paraId="5504A8AA" w14:textId="77777777" w:rsidTr="006F32DD">
        <w:tc>
          <w:tcPr>
            <w:tcW w:w="1936" w:type="dxa"/>
          </w:tcPr>
          <w:p w14:paraId="70347F14" w14:textId="77777777" w:rsidR="00F93EE5" w:rsidRPr="00F93EE5" w:rsidRDefault="00F93EE5" w:rsidP="006F32DD">
            <w:pPr>
              <w:widowControl w:val="0"/>
              <w:autoSpaceDE w:val="0"/>
              <w:autoSpaceDN w:val="0"/>
              <w:adjustRightInd w:val="0"/>
              <w:spacing w:line="400" w:lineRule="atLeast"/>
            </w:pPr>
            <w:r w:rsidRPr="00F93EE5">
              <w:t>TP bajo</w:t>
            </w:r>
          </w:p>
        </w:tc>
        <w:tc>
          <w:tcPr>
            <w:tcW w:w="1929" w:type="dxa"/>
          </w:tcPr>
          <w:p w14:paraId="28FC156F" w14:textId="77777777" w:rsidR="00F93EE5" w:rsidRPr="00F93EE5" w:rsidRDefault="00F93EE5" w:rsidP="006F32DD">
            <w:pPr>
              <w:widowControl w:val="0"/>
              <w:autoSpaceDE w:val="0"/>
              <w:autoSpaceDN w:val="0"/>
              <w:adjustRightInd w:val="0"/>
              <w:spacing w:line="400" w:lineRule="atLeast"/>
            </w:pPr>
            <w:r w:rsidRPr="00F93EE5">
              <w:t>15,4</w:t>
            </w:r>
          </w:p>
        </w:tc>
        <w:tc>
          <w:tcPr>
            <w:tcW w:w="1929" w:type="dxa"/>
          </w:tcPr>
          <w:p w14:paraId="69CEFDD7" w14:textId="77777777" w:rsidR="00F93EE5" w:rsidRPr="00F93EE5" w:rsidRDefault="00F93EE5" w:rsidP="006F32DD">
            <w:pPr>
              <w:widowControl w:val="0"/>
              <w:autoSpaceDE w:val="0"/>
              <w:autoSpaceDN w:val="0"/>
              <w:adjustRightInd w:val="0"/>
              <w:spacing w:line="400" w:lineRule="atLeast"/>
            </w:pPr>
            <w:r w:rsidRPr="00F93EE5">
              <w:t>44,4</w:t>
            </w:r>
          </w:p>
        </w:tc>
        <w:tc>
          <w:tcPr>
            <w:tcW w:w="1435" w:type="dxa"/>
          </w:tcPr>
          <w:p w14:paraId="44ED1BFD" w14:textId="77777777" w:rsidR="00F93EE5" w:rsidRPr="00F93EE5" w:rsidRDefault="00F93EE5" w:rsidP="006F32DD">
            <w:pPr>
              <w:widowControl w:val="0"/>
              <w:autoSpaceDE w:val="0"/>
              <w:autoSpaceDN w:val="0"/>
              <w:adjustRightInd w:val="0"/>
              <w:spacing w:line="400" w:lineRule="atLeast"/>
            </w:pPr>
            <w:r w:rsidRPr="00F93EE5">
              <w:t>18,4</w:t>
            </w:r>
          </w:p>
        </w:tc>
        <w:tc>
          <w:tcPr>
            <w:tcW w:w="1599" w:type="dxa"/>
          </w:tcPr>
          <w:p w14:paraId="57578E8D" w14:textId="77777777" w:rsidR="00F93EE5" w:rsidRPr="00F93EE5" w:rsidRDefault="00F93EE5" w:rsidP="006F32DD">
            <w:pPr>
              <w:widowControl w:val="0"/>
              <w:autoSpaceDE w:val="0"/>
              <w:autoSpaceDN w:val="0"/>
              <w:adjustRightInd w:val="0"/>
              <w:spacing w:line="400" w:lineRule="atLeast"/>
              <w:rPr>
                <w:b/>
                <w:bCs/>
              </w:rPr>
            </w:pPr>
            <w:r w:rsidRPr="00F93EE5">
              <w:rPr>
                <w:b/>
                <w:bCs/>
              </w:rPr>
              <w:t>0,033</w:t>
            </w:r>
          </w:p>
        </w:tc>
      </w:tr>
      <w:tr w:rsidR="00F93EE5" w:rsidRPr="00F93EE5" w14:paraId="3F006334" w14:textId="77777777" w:rsidTr="006F32DD">
        <w:tc>
          <w:tcPr>
            <w:tcW w:w="1936" w:type="dxa"/>
          </w:tcPr>
          <w:p w14:paraId="2EC75BC0" w14:textId="77777777" w:rsidR="00F93EE5" w:rsidRPr="00F93EE5" w:rsidRDefault="00F93EE5" w:rsidP="006F32DD">
            <w:pPr>
              <w:widowControl w:val="0"/>
              <w:autoSpaceDE w:val="0"/>
              <w:autoSpaceDN w:val="0"/>
              <w:adjustRightInd w:val="0"/>
              <w:spacing w:line="400" w:lineRule="atLeast"/>
            </w:pPr>
            <w:r w:rsidRPr="00F93EE5">
              <w:t>TP prolongado</w:t>
            </w:r>
          </w:p>
        </w:tc>
        <w:tc>
          <w:tcPr>
            <w:tcW w:w="1929" w:type="dxa"/>
          </w:tcPr>
          <w:p w14:paraId="31178DFF" w14:textId="77777777" w:rsidR="00F93EE5" w:rsidRPr="00F93EE5" w:rsidRDefault="00F93EE5" w:rsidP="006F32DD">
            <w:pPr>
              <w:widowControl w:val="0"/>
              <w:autoSpaceDE w:val="0"/>
              <w:autoSpaceDN w:val="0"/>
              <w:adjustRightInd w:val="0"/>
              <w:spacing w:line="400" w:lineRule="atLeast"/>
            </w:pPr>
            <w:r w:rsidRPr="00F93EE5">
              <w:t>2,6</w:t>
            </w:r>
          </w:p>
        </w:tc>
        <w:tc>
          <w:tcPr>
            <w:tcW w:w="1929" w:type="dxa"/>
          </w:tcPr>
          <w:p w14:paraId="6FAF40C8" w14:textId="77777777" w:rsidR="00F93EE5" w:rsidRPr="00F93EE5" w:rsidRDefault="00F93EE5" w:rsidP="006F32DD">
            <w:pPr>
              <w:widowControl w:val="0"/>
              <w:autoSpaceDE w:val="0"/>
              <w:autoSpaceDN w:val="0"/>
              <w:adjustRightInd w:val="0"/>
              <w:spacing w:line="400" w:lineRule="atLeast"/>
            </w:pPr>
            <w:r w:rsidRPr="00F93EE5">
              <w:t>0</w:t>
            </w:r>
          </w:p>
        </w:tc>
        <w:tc>
          <w:tcPr>
            <w:tcW w:w="1435" w:type="dxa"/>
          </w:tcPr>
          <w:p w14:paraId="31552DFF" w14:textId="77777777" w:rsidR="00F93EE5" w:rsidRPr="00F93EE5" w:rsidRDefault="00F93EE5" w:rsidP="006F32DD">
            <w:pPr>
              <w:widowControl w:val="0"/>
              <w:autoSpaceDE w:val="0"/>
              <w:autoSpaceDN w:val="0"/>
              <w:adjustRightInd w:val="0"/>
              <w:spacing w:line="400" w:lineRule="atLeast"/>
            </w:pPr>
            <w:r w:rsidRPr="00F93EE5">
              <w:t>2,3</w:t>
            </w:r>
          </w:p>
        </w:tc>
        <w:tc>
          <w:tcPr>
            <w:tcW w:w="1599" w:type="dxa"/>
          </w:tcPr>
          <w:p w14:paraId="2BD2547F" w14:textId="77777777" w:rsidR="00F93EE5" w:rsidRPr="00F93EE5" w:rsidRDefault="00F93EE5" w:rsidP="006F32DD">
            <w:pPr>
              <w:widowControl w:val="0"/>
              <w:autoSpaceDE w:val="0"/>
              <w:autoSpaceDN w:val="0"/>
              <w:adjustRightInd w:val="0"/>
              <w:spacing w:line="400" w:lineRule="atLeast"/>
            </w:pPr>
            <w:r w:rsidRPr="00F93EE5">
              <w:t>0,63</w:t>
            </w:r>
          </w:p>
        </w:tc>
      </w:tr>
      <w:tr w:rsidR="00F93EE5" w:rsidRPr="00F93EE5" w14:paraId="0E9A5806" w14:textId="77777777" w:rsidTr="006F32DD">
        <w:tc>
          <w:tcPr>
            <w:tcW w:w="1936" w:type="dxa"/>
          </w:tcPr>
          <w:p w14:paraId="0CEA9E48" w14:textId="77777777" w:rsidR="00F93EE5" w:rsidRPr="00F93EE5" w:rsidRDefault="00F93EE5" w:rsidP="006F32DD">
            <w:pPr>
              <w:widowControl w:val="0"/>
              <w:autoSpaceDE w:val="0"/>
              <w:autoSpaceDN w:val="0"/>
              <w:adjustRightInd w:val="0"/>
              <w:spacing w:line="400" w:lineRule="atLeast"/>
            </w:pPr>
            <w:r w:rsidRPr="00F93EE5">
              <w:t>TTPA bajo</w:t>
            </w:r>
          </w:p>
        </w:tc>
        <w:tc>
          <w:tcPr>
            <w:tcW w:w="1929" w:type="dxa"/>
          </w:tcPr>
          <w:p w14:paraId="1FC6E236" w14:textId="77777777" w:rsidR="00F93EE5" w:rsidRPr="00F93EE5" w:rsidRDefault="00F93EE5" w:rsidP="006F32DD">
            <w:pPr>
              <w:widowControl w:val="0"/>
              <w:autoSpaceDE w:val="0"/>
              <w:autoSpaceDN w:val="0"/>
              <w:adjustRightInd w:val="0"/>
              <w:spacing w:line="400" w:lineRule="atLeast"/>
            </w:pPr>
            <w:r w:rsidRPr="00F93EE5">
              <w:t>30,4</w:t>
            </w:r>
          </w:p>
        </w:tc>
        <w:tc>
          <w:tcPr>
            <w:tcW w:w="1929" w:type="dxa"/>
          </w:tcPr>
          <w:p w14:paraId="2BE0F1FB" w14:textId="77777777" w:rsidR="00F93EE5" w:rsidRPr="00F93EE5" w:rsidRDefault="00F93EE5" w:rsidP="006F32DD">
            <w:pPr>
              <w:widowControl w:val="0"/>
              <w:autoSpaceDE w:val="0"/>
              <w:autoSpaceDN w:val="0"/>
              <w:adjustRightInd w:val="0"/>
              <w:spacing w:line="400" w:lineRule="atLeast"/>
            </w:pPr>
            <w:r w:rsidRPr="00F93EE5">
              <w:t>80</w:t>
            </w:r>
          </w:p>
        </w:tc>
        <w:tc>
          <w:tcPr>
            <w:tcW w:w="1435" w:type="dxa"/>
          </w:tcPr>
          <w:p w14:paraId="6FB00525" w14:textId="77777777" w:rsidR="00F93EE5" w:rsidRPr="00F93EE5" w:rsidRDefault="00F93EE5" w:rsidP="006F32DD">
            <w:pPr>
              <w:widowControl w:val="0"/>
              <w:autoSpaceDE w:val="0"/>
              <w:autoSpaceDN w:val="0"/>
              <w:adjustRightInd w:val="0"/>
              <w:spacing w:line="400" w:lineRule="atLeast"/>
            </w:pPr>
            <w:r w:rsidRPr="00F93EE5">
              <w:t>35,3</w:t>
            </w:r>
          </w:p>
        </w:tc>
        <w:tc>
          <w:tcPr>
            <w:tcW w:w="1599" w:type="dxa"/>
          </w:tcPr>
          <w:p w14:paraId="4EC249E9" w14:textId="77777777" w:rsidR="00F93EE5" w:rsidRPr="00F93EE5" w:rsidRDefault="00F93EE5" w:rsidP="006F32DD">
            <w:pPr>
              <w:widowControl w:val="0"/>
              <w:autoSpaceDE w:val="0"/>
              <w:autoSpaceDN w:val="0"/>
              <w:adjustRightInd w:val="0"/>
              <w:spacing w:line="400" w:lineRule="atLeast"/>
              <w:rPr>
                <w:b/>
                <w:bCs/>
              </w:rPr>
            </w:pPr>
            <w:r w:rsidRPr="00F93EE5">
              <w:rPr>
                <w:b/>
                <w:bCs/>
              </w:rPr>
              <w:t>0,028</w:t>
            </w:r>
          </w:p>
        </w:tc>
      </w:tr>
      <w:tr w:rsidR="00F93EE5" w:rsidRPr="00F93EE5" w14:paraId="37BE9352" w14:textId="77777777" w:rsidTr="006F32DD">
        <w:tc>
          <w:tcPr>
            <w:tcW w:w="1936" w:type="dxa"/>
          </w:tcPr>
          <w:p w14:paraId="522F92A1" w14:textId="77777777" w:rsidR="00F93EE5" w:rsidRPr="00F93EE5" w:rsidRDefault="00F93EE5" w:rsidP="006F32DD">
            <w:pPr>
              <w:widowControl w:val="0"/>
              <w:autoSpaceDE w:val="0"/>
              <w:autoSpaceDN w:val="0"/>
              <w:adjustRightInd w:val="0"/>
              <w:spacing w:line="400" w:lineRule="atLeast"/>
            </w:pPr>
            <w:r w:rsidRPr="00F93EE5">
              <w:t>BUN elevado</w:t>
            </w:r>
          </w:p>
        </w:tc>
        <w:tc>
          <w:tcPr>
            <w:tcW w:w="1929" w:type="dxa"/>
          </w:tcPr>
          <w:p w14:paraId="06190A07" w14:textId="77777777" w:rsidR="00F93EE5" w:rsidRPr="00F93EE5" w:rsidRDefault="00F93EE5" w:rsidP="006F32DD">
            <w:pPr>
              <w:widowControl w:val="0"/>
              <w:autoSpaceDE w:val="0"/>
              <w:autoSpaceDN w:val="0"/>
              <w:adjustRightInd w:val="0"/>
              <w:spacing w:line="400" w:lineRule="atLeast"/>
            </w:pPr>
            <w:r w:rsidRPr="00F93EE5">
              <w:t>0</w:t>
            </w:r>
          </w:p>
        </w:tc>
        <w:tc>
          <w:tcPr>
            <w:tcW w:w="1929" w:type="dxa"/>
          </w:tcPr>
          <w:p w14:paraId="09A2525D" w14:textId="77777777" w:rsidR="00F93EE5" w:rsidRPr="00F93EE5" w:rsidRDefault="00F93EE5" w:rsidP="006F32DD">
            <w:pPr>
              <w:widowControl w:val="0"/>
              <w:autoSpaceDE w:val="0"/>
              <w:autoSpaceDN w:val="0"/>
              <w:adjustRightInd w:val="0"/>
              <w:spacing w:line="400" w:lineRule="atLeast"/>
            </w:pPr>
            <w:r w:rsidRPr="00F93EE5">
              <w:t>30</w:t>
            </w:r>
          </w:p>
        </w:tc>
        <w:tc>
          <w:tcPr>
            <w:tcW w:w="1435" w:type="dxa"/>
          </w:tcPr>
          <w:p w14:paraId="333E6685" w14:textId="77777777" w:rsidR="00F93EE5" w:rsidRPr="00F93EE5" w:rsidRDefault="00F93EE5" w:rsidP="006F32DD">
            <w:pPr>
              <w:widowControl w:val="0"/>
              <w:autoSpaceDE w:val="0"/>
              <w:autoSpaceDN w:val="0"/>
              <w:adjustRightInd w:val="0"/>
              <w:spacing w:line="400" w:lineRule="atLeast"/>
            </w:pPr>
            <w:r w:rsidRPr="00F93EE5">
              <w:t>4,6</w:t>
            </w:r>
          </w:p>
        </w:tc>
        <w:tc>
          <w:tcPr>
            <w:tcW w:w="1599" w:type="dxa"/>
          </w:tcPr>
          <w:p w14:paraId="7BEFC0A6" w14:textId="77777777" w:rsidR="00F93EE5" w:rsidRPr="00F93EE5" w:rsidRDefault="00F93EE5" w:rsidP="006F32DD">
            <w:pPr>
              <w:widowControl w:val="0"/>
              <w:autoSpaceDE w:val="0"/>
              <w:autoSpaceDN w:val="0"/>
              <w:adjustRightInd w:val="0"/>
              <w:spacing w:line="400" w:lineRule="atLeast"/>
            </w:pPr>
            <w:r w:rsidRPr="00F93EE5">
              <w:rPr>
                <w:b/>
              </w:rPr>
              <w:t>&lt;0,001</w:t>
            </w:r>
          </w:p>
        </w:tc>
      </w:tr>
      <w:tr w:rsidR="00F93EE5" w:rsidRPr="00F93EE5" w14:paraId="25867CAA" w14:textId="77777777" w:rsidTr="006F32DD">
        <w:tc>
          <w:tcPr>
            <w:tcW w:w="1936" w:type="dxa"/>
          </w:tcPr>
          <w:p w14:paraId="252683BD" w14:textId="77777777" w:rsidR="00F93EE5" w:rsidRPr="00F93EE5" w:rsidRDefault="00F93EE5" w:rsidP="006F32DD">
            <w:pPr>
              <w:widowControl w:val="0"/>
              <w:autoSpaceDE w:val="0"/>
              <w:autoSpaceDN w:val="0"/>
              <w:adjustRightInd w:val="0"/>
              <w:spacing w:line="400" w:lineRule="atLeast"/>
            </w:pPr>
            <w:r w:rsidRPr="00F93EE5">
              <w:t xml:space="preserve">Creatinina </w:t>
            </w:r>
            <w:r w:rsidRPr="00F93EE5">
              <w:lastRenderedPageBreak/>
              <w:t>elevada</w:t>
            </w:r>
          </w:p>
        </w:tc>
        <w:tc>
          <w:tcPr>
            <w:tcW w:w="1929" w:type="dxa"/>
          </w:tcPr>
          <w:p w14:paraId="5198A00F" w14:textId="77777777" w:rsidR="00F93EE5" w:rsidRPr="00F93EE5" w:rsidRDefault="00F93EE5" w:rsidP="006F32DD">
            <w:pPr>
              <w:widowControl w:val="0"/>
              <w:autoSpaceDE w:val="0"/>
              <w:autoSpaceDN w:val="0"/>
              <w:adjustRightInd w:val="0"/>
              <w:spacing w:line="400" w:lineRule="atLeast"/>
            </w:pPr>
            <w:r w:rsidRPr="00F93EE5">
              <w:lastRenderedPageBreak/>
              <w:t>2</w:t>
            </w:r>
          </w:p>
        </w:tc>
        <w:tc>
          <w:tcPr>
            <w:tcW w:w="1929" w:type="dxa"/>
          </w:tcPr>
          <w:p w14:paraId="67413457" w14:textId="77777777" w:rsidR="00F93EE5" w:rsidRPr="00F93EE5" w:rsidRDefault="00F93EE5" w:rsidP="006F32DD">
            <w:pPr>
              <w:widowControl w:val="0"/>
              <w:autoSpaceDE w:val="0"/>
              <w:autoSpaceDN w:val="0"/>
              <w:adjustRightInd w:val="0"/>
              <w:spacing w:line="400" w:lineRule="atLeast"/>
            </w:pPr>
            <w:r w:rsidRPr="00F93EE5">
              <w:t>18,2</w:t>
            </w:r>
          </w:p>
        </w:tc>
        <w:tc>
          <w:tcPr>
            <w:tcW w:w="1435" w:type="dxa"/>
          </w:tcPr>
          <w:p w14:paraId="4B81E617" w14:textId="77777777" w:rsidR="00F93EE5" w:rsidRPr="00F93EE5" w:rsidRDefault="00F93EE5" w:rsidP="006F32DD">
            <w:pPr>
              <w:widowControl w:val="0"/>
              <w:autoSpaceDE w:val="0"/>
              <w:autoSpaceDN w:val="0"/>
              <w:adjustRightInd w:val="0"/>
              <w:spacing w:line="400" w:lineRule="atLeast"/>
            </w:pPr>
            <w:r w:rsidRPr="00F93EE5">
              <w:t>3,5</w:t>
            </w:r>
          </w:p>
        </w:tc>
        <w:tc>
          <w:tcPr>
            <w:tcW w:w="1599" w:type="dxa"/>
          </w:tcPr>
          <w:p w14:paraId="5164DD31" w14:textId="77777777" w:rsidR="00F93EE5" w:rsidRPr="00F93EE5" w:rsidRDefault="00F93EE5" w:rsidP="006F32DD">
            <w:pPr>
              <w:widowControl w:val="0"/>
              <w:autoSpaceDE w:val="0"/>
              <w:autoSpaceDN w:val="0"/>
              <w:adjustRightInd w:val="0"/>
              <w:spacing w:line="400" w:lineRule="atLeast"/>
              <w:rPr>
                <w:b/>
                <w:bCs/>
              </w:rPr>
            </w:pPr>
            <w:r w:rsidRPr="00F93EE5">
              <w:rPr>
                <w:b/>
                <w:bCs/>
              </w:rPr>
              <w:t>0,006</w:t>
            </w:r>
          </w:p>
        </w:tc>
      </w:tr>
      <w:tr w:rsidR="00F93EE5" w:rsidRPr="00F93EE5" w14:paraId="7BFE866E" w14:textId="77777777" w:rsidTr="006F32DD">
        <w:tc>
          <w:tcPr>
            <w:tcW w:w="1936" w:type="dxa"/>
          </w:tcPr>
          <w:p w14:paraId="336953C2" w14:textId="77777777" w:rsidR="00F93EE5" w:rsidRPr="0054063E" w:rsidRDefault="00F93EE5" w:rsidP="0054063E">
            <w:pPr>
              <w:rPr>
                <w:lang w:val="es-CL"/>
              </w:rPr>
            </w:pPr>
            <w:r w:rsidRPr="00F93EE5">
              <w:rPr>
                <w:u w:val="single"/>
              </w:rPr>
              <w:lastRenderedPageBreak/>
              <w:t>&gt;</w:t>
            </w:r>
            <w:r w:rsidR="0054063E">
              <w:rPr>
                <w:u w:val="single"/>
              </w:rPr>
              <w:t xml:space="preserve"> </w:t>
            </w:r>
            <w:r w:rsidRPr="00F93EE5">
              <w:t>3 GR en Orina</w:t>
            </w:r>
          </w:p>
        </w:tc>
        <w:tc>
          <w:tcPr>
            <w:tcW w:w="1929" w:type="dxa"/>
          </w:tcPr>
          <w:p w14:paraId="6ABF16AF" w14:textId="77777777" w:rsidR="00F93EE5" w:rsidRPr="00F93EE5" w:rsidRDefault="00F93EE5" w:rsidP="006F32DD">
            <w:pPr>
              <w:widowControl w:val="0"/>
              <w:autoSpaceDE w:val="0"/>
              <w:autoSpaceDN w:val="0"/>
              <w:adjustRightInd w:val="0"/>
              <w:spacing w:line="400" w:lineRule="atLeast"/>
            </w:pPr>
            <w:r w:rsidRPr="00F93EE5">
              <w:t>32,5</w:t>
            </w:r>
          </w:p>
        </w:tc>
        <w:tc>
          <w:tcPr>
            <w:tcW w:w="1929" w:type="dxa"/>
          </w:tcPr>
          <w:p w14:paraId="3FD63647" w14:textId="77777777" w:rsidR="00F93EE5" w:rsidRPr="00F93EE5" w:rsidRDefault="00F93EE5" w:rsidP="006F32DD">
            <w:pPr>
              <w:widowControl w:val="0"/>
              <w:autoSpaceDE w:val="0"/>
              <w:autoSpaceDN w:val="0"/>
              <w:adjustRightInd w:val="0"/>
              <w:spacing w:line="400" w:lineRule="atLeast"/>
            </w:pPr>
            <w:r w:rsidRPr="00F93EE5">
              <w:t>72,7</w:t>
            </w:r>
          </w:p>
        </w:tc>
        <w:tc>
          <w:tcPr>
            <w:tcW w:w="1435" w:type="dxa"/>
          </w:tcPr>
          <w:p w14:paraId="17ED218E" w14:textId="77777777" w:rsidR="00F93EE5" w:rsidRPr="00F93EE5" w:rsidRDefault="00F93EE5" w:rsidP="006F32DD">
            <w:pPr>
              <w:widowControl w:val="0"/>
              <w:autoSpaceDE w:val="0"/>
              <w:autoSpaceDN w:val="0"/>
              <w:adjustRightInd w:val="0"/>
              <w:spacing w:line="400" w:lineRule="atLeast"/>
            </w:pPr>
            <w:r w:rsidRPr="00F93EE5">
              <w:t>35,2</w:t>
            </w:r>
          </w:p>
        </w:tc>
        <w:tc>
          <w:tcPr>
            <w:tcW w:w="1599" w:type="dxa"/>
          </w:tcPr>
          <w:p w14:paraId="7F2CFD4E" w14:textId="77777777" w:rsidR="00F93EE5" w:rsidRPr="00F93EE5" w:rsidRDefault="00F93EE5" w:rsidP="006F32DD">
            <w:pPr>
              <w:widowControl w:val="0"/>
              <w:autoSpaceDE w:val="0"/>
              <w:autoSpaceDN w:val="0"/>
              <w:adjustRightInd w:val="0"/>
              <w:spacing w:line="400" w:lineRule="atLeast"/>
            </w:pPr>
            <w:r w:rsidRPr="00F93EE5">
              <w:rPr>
                <w:b/>
              </w:rPr>
              <w:t>0,007</w:t>
            </w:r>
          </w:p>
        </w:tc>
      </w:tr>
      <w:tr w:rsidR="00F93EE5" w:rsidRPr="00F93EE5" w14:paraId="5163E6E8" w14:textId="77777777" w:rsidTr="006F32DD">
        <w:tc>
          <w:tcPr>
            <w:tcW w:w="1936" w:type="dxa"/>
          </w:tcPr>
          <w:p w14:paraId="6E7815C8" w14:textId="77777777" w:rsidR="00F93EE5" w:rsidRPr="00F93EE5" w:rsidRDefault="00F93EE5" w:rsidP="006F32DD">
            <w:pPr>
              <w:widowControl w:val="0"/>
              <w:autoSpaceDE w:val="0"/>
              <w:autoSpaceDN w:val="0"/>
              <w:adjustRightInd w:val="0"/>
              <w:spacing w:line="400" w:lineRule="atLeast"/>
            </w:pPr>
            <w:r w:rsidRPr="00F93EE5">
              <w:t>CK total elevada</w:t>
            </w:r>
          </w:p>
        </w:tc>
        <w:tc>
          <w:tcPr>
            <w:tcW w:w="1929" w:type="dxa"/>
          </w:tcPr>
          <w:p w14:paraId="0FE8822F" w14:textId="77777777" w:rsidR="00F93EE5" w:rsidRPr="00F93EE5" w:rsidRDefault="00F93EE5" w:rsidP="006F32DD">
            <w:pPr>
              <w:widowControl w:val="0"/>
              <w:autoSpaceDE w:val="0"/>
              <w:autoSpaceDN w:val="0"/>
              <w:adjustRightInd w:val="0"/>
              <w:spacing w:line="400" w:lineRule="atLeast"/>
            </w:pPr>
            <w:r w:rsidRPr="00F93EE5">
              <w:t>10</w:t>
            </w:r>
          </w:p>
        </w:tc>
        <w:tc>
          <w:tcPr>
            <w:tcW w:w="1929" w:type="dxa"/>
          </w:tcPr>
          <w:p w14:paraId="65D70789" w14:textId="77777777" w:rsidR="00F93EE5" w:rsidRPr="00F93EE5" w:rsidRDefault="00F93EE5" w:rsidP="006F32DD">
            <w:pPr>
              <w:widowControl w:val="0"/>
              <w:autoSpaceDE w:val="0"/>
              <w:autoSpaceDN w:val="0"/>
              <w:adjustRightInd w:val="0"/>
              <w:spacing w:line="400" w:lineRule="atLeast"/>
            </w:pPr>
            <w:r w:rsidRPr="00F93EE5">
              <w:t>22,2</w:t>
            </w:r>
          </w:p>
        </w:tc>
        <w:tc>
          <w:tcPr>
            <w:tcW w:w="1435" w:type="dxa"/>
          </w:tcPr>
          <w:p w14:paraId="0548F109" w14:textId="77777777" w:rsidR="00F93EE5" w:rsidRPr="00F93EE5" w:rsidRDefault="00F93EE5" w:rsidP="006F32DD">
            <w:pPr>
              <w:widowControl w:val="0"/>
              <w:autoSpaceDE w:val="0"/>
              <w:autoSpaceDN w:val="0"/>
              <w:adjustRightInd w:val="0"/>
              <w:spacing w:line="400" w:lineRule="atLeast"/>
            </w:pPr>
            <w:r w:rsidRPr="00F93EE5">
              <w:t>12,8</w:t>
            </w:r>
          </w:p>
        </w:tc>
        <w:tc>
          <w:tcPr>
            <w:tcW w:w="1599" w:type="dxa"/>
          </w:tcPr>
          <w:p w14:paraId="5A5386B6" w14:textId="77777777" w:rsidR="00F93EE5" w:rsidRPr="00F93EE5" w:rsidRDefault="00F93EE5" w:rsidP="006F32DD">
            <w:pPr>
              <w:widowControl w:val="0"/>
              <w:autoSpaceDE w:val="0"/>
              <w:autoSpaceDN w:val="0"/>
              <w:adjustRightInd w:val="0"/>
              <w:spacing w:line="400" w:lineRule="atLeast"/>
            </w:pPr>
            <w:r w:rsidRPr="00F93EE5">
              <w:t>0,34</w:t>
            </w:r>
          </w:p>
        </w:tc>
      </w:tr>
    </w:tbl>
    <w:p w14:paraId="009E369D" w14:textId="77777777" w:rsidR="00F93EE5" w:rsidRPr="00F93EE5" w:rsidRDefault="00F93EE5" w:rsidP="00F93EE5">
      <w:pPr>
        <w:widowControl w:val="0"/>
        <w:autoSpaceDE w:val="0"/>
        <w:autoSpaceDN w:val="0"/>
        <w:adjustRightInd w:val="0"/>
        <w:spacing w:after="240"/>
        <w:jc w:val="both"/>
        <w:rPr>
          <w:b/>
        </w:rPr>
      </w:pPr>
    </w:p>
    <w:p w14:paraId="50A1E0D4" w14:textId="77777777" w:rsidR="00F93EE5" w:rsidRPr="00183FC9" w:rsidRDefault="00F93EE5" w:rsidP="00F93EE5">
      <w:pPr>
        <w:widowControl w:val="0"/>
        <w:autoSpaceDE w:val="0"/>
        <w:autoSpaceDN w:val="0"/>
        <w:adjustRightInd w:val="0"/>
        <w:spacing w:after="240"/>
        <w:jc w:val="both"/>
        <w:outlineLvl w:val="0"/>
        <w:rPr>
          <w:b/>
          <w:u w:val="single"/>
        </w:rPr>
      </w:pPr>
      <w:r w:rsidRPr="00F93EE5">
        <w:rPr>
          <w:b/>
        </w:rPr>
        <w:t>Tabla 4.</w:t>
      </w:r>
      <w:r w:rsidR="00183FC9">
        <w:rPr>
          <w:b/>
        </w:rPr>
        <w:t xml:space="preserve"> </w:t>
      </w:r>
      <w:r w:rsidR="00183FC9" w:rsidRPr="00183FC9">
        <w:rPr>
          <w:b/>
          <w:u w:val="single"/>
        </w:rPr>
        <w:t>Tratamientos utilizados según tipo de loxoscelismo</w:t>
      </w:r>
    </w:p>
    <w:tbl>
      <w:tblPr>
        <w:tblStyle w:val="Tablaconcuadrcula"/>
        <w:tblW w:w="0" w:type="auto"/>
        <w:tblLook w:val="00A0" w:firstRow="1" w:lastRow="0" w:firstColumn="1" w:lastColumn="0" w:noHBand="0" w:noVBand="0"/>
      </w:tblPr>
      <w:tblGrid>
        <w:gridCol w:w="1856"/>
        <w:gridCol w:w="1795"/>
        <w:gridCol w:w="1796"/>
        <w:gridCol w:w="1796"/>
        <w:gridCol w:w="1796"/>
      </w:tblGrid>
      <w:tr w:rsidR="00F93EE5" w:rsidRPr="00F93EE5" w14:paraId="67A0E713" w14:textId="77777777" w:rsidTr="006F32DD">
        <w:tc>
          <w:tcPr>
            <w:tcW w:w="1795" w:type="dxa"/>
          </w:tcPr>
          <w:p w14:paraId="6D3AFCE8" w14:textId="77777777" w:rsidR="00F93EE5" w:rsidRPr="00F93EE5" w:rsidRDefault="00F93EE5" w:rsidP="006F32DD">
            <w:r w:rsidRPr="00F93EE5">
              <w:t>Tratamientos utilizados</w:t>
            </w:r>
          </w:p>
        </w:tc>
        <w:tc>
          <w:tcPr>
            <w:tcW w:w="1795" w:type="dxa"/>
          </w:tcPr>
          <w:p w14:paraId="0B05380F" w14:textId="77777777" w:rsidR="00F93EE5" w:rsidRPr="00F93EE5" w:rsidRDefault="00F93EE5" w:rsidP="006F32DD">
            <w:pPr>
              <w:widowControl w:val="0"/>
              <w:autoSpaceDE w:val="0"/>
              <w:autoSpaceDN w:val="0"/>
              <w:adjustRightInd w:val="0"/>
              <w:spacing w:line="400" w:lineRule="atLeast"/>
            </w:pPr>
            <w:proofErr w:type="spellStart"/>
            <w:r w:rsidRPr="00F93EE5">
              <w:t>Loxocelismo</w:t>
            </w:r>
            <w:proofErr w:type="spellEnd"/>
            <w:r w:rsidRPr="00F93EE5">
              <w:t xml:space="preserve"> Cutáneo</w:t>
            </w:r>
          </w:p>
          <w:p w14:paraId="624460F4" w14:textId="77777777" w:rsidR="00F93EE5" w:rsidRPr="00F93EE5" w:rsidRDefault="00F93EE5" w:rsidP="006F32DD">
            <w:pPr>
              <w:widowControl w:val="0"/>
              <w:autoSpaceDE w:val="0"/>
              <w:autoSpaceDN w:val="0"/>
              <w:adjustRightInd w:val="0"/>
              <w:spacing w:line="400" w:lineRule="atLeast"/>
            </w:pPr>
            <w:r w:rsidRPr="00F93EE5">
              <w:t>(%)</w:t>
            </w:r>
          </w:p>
        </w:tc>
        <w:tc>
          <w:tcPr>
            <w:tcW w:w="1796" w:type="dxa"/>
          </w:tcPr>
          <w:p w14:paraId="744851BF" w14:textId="77777777" w:rsidR="00F93EE5" w:rsidRPr="00F93EE5" w:rsidRDefault="00F93EE5" w:rsidP="006F32DD">
            <w:pPr>
              <w:widowControl w:val="0"/>
              <w:autoSpaceDE w:val="0"/>
              <w:autoSpaceDN w:val="0"/>
              <w:adjustRightInd w:val="0"/>
              <w:spacing w:line="400" w:lineRule="atLeast"/>
            </w:pPr>
            <w:proofErr w:type="spellStart"/>
            <w:r w:rsidRPr="00F93EE5">
              <w:t>Loxocelismo</w:t>
            </w:r>
            <w:proofErr w:type="spellEnd"/>
            <w:r w:rsidRPr="00F93EE5">
              <w:t xml:space="preserve"> cutáneo-visceral</w:t>
            </w:r>
          </w:p>
          <w:p w14:paraId="1574F5D0" w14:textId="77777777" w:rsidR="00F93EE5" w:rsidRPr="00F93EE5" w:rsidRDefault="00F93EE5" w:rsidP="006F32DD">
            <w:pPr>
              <w:widowControl w:val="0"/>
              <w:autoSpaceDE w:val="0"/>
              <w:autoSpaceDN w:val="0"/>
              <w:adjustRightInd w:val="0"/>
              <w:spacing w:line="400" w:lineRule="atLeast"/>
            </w:pPr>
            <w:r w:rsidRPr="00F93EE5">
              <w:t>(%)</w:t>
            </w:r>
          </w:p>
        </w:tc>
        <w:tc>
          <w:tcPr>
            <w:tcW w:w="1796" w:type="dxa"/>
          </w:tcPr>
          <w:p w14:paraId="4306F5EB" w14:textId="77777777" w:rsidR="00F93EE5" w:rsidRPr="00F93EE5" w:rsidRDefault="00F93EE5" w:rsidP="006F32DD">
            <w:pPr>
              <w:widowControl w:val="0"/>
              <w:autoSpaceDE w:val="0"/>
              <w:autoSpaceDN w:val="0"/>
              <w:adjustRightInd w:val="0"/>
              <w:spacing w:line="400" w:lineRule="atLeast"/>
            </w:pPr>
            <w:r w:rsidRPr="00F93EE5">
              <w:t>Total</w:t>
            </w:r>
          </w:p>
          <w:p w14:paraId="7D150B8A" w14:textId="77777777" w:rsidR="00F93EE5" w:rsidRPr="00F93EE5" w:rsidRDefault="00F93EE5" w:rsidP="006F32DD">
            <w:pPr>
              <w:widowControl w:val="0"/>
              <w:autoSpaceDE w:val="0"/>
              <w:autoSpaceDN w:val="0"/>
              <w:adjustRightInd w:val="0"/>
              <w:spacing w:line="400" w:lineRule="atLeast"/>
            </w:pPr>
            <w:r w:rsidRPr="00F93EE5">
              <w:t>(%)</w:t>
            </w:r>
          </w:p>
        </w:tc>
        <w:tc>
          <w:tcPr>
            <w:tcW w:w="1796" w:type="dxa"/>
          </w:tcPr>
          <w:p w14:paraId="2B689ECD" w14:textId="77777777" w:rsidR="00F93EE5" w:rsidRPr="00F93EE5" w:rsidRDefault="00F93EE5" w:rsidP="006F32DD">
            <w:pPr>
              <w:widowControl w:val="0"/>
              <w:autoSpaceDE w:val="0"/>
              <w:autoSpaceDN w:val="0"/>
              <w:adjustRightInd w:val="0"/>
              <w:spacing w:line="400" w:lineRule="atLeast"/>
            </w:pPr>
            <w:r w:rsidRPr="00F93EE5">
              <w:t>Valor p</w:t>
            </w:r>
          </w:p>
        </w:tc>
      </w:tr>
      <w:tr w:rsidR="00F93EE5" w:rsidRPr="00F93EE5" w14:paraId="4137A488" w14:textId="77777777" w:rsidTr="006F32DD">
        <w:tc>
          <w:tcPr>
            <w:tcW w:w="1795" w:type="dxa"/>
          </w:tcPr>
          <w:p w14:paraId="22CDC47B" w14:textId="77777777" w:rsidR="00F93EE5" w:rsidRPr="00F93EE5" w:rsidRDefault="00F93EE5" w:rsidP="006F32DD">
            <w:r w:rsidRPr="00F93EE5">
              <w:t>Analgesia</w:t>
            </w:r>
          </w:p>
        </w:tc>
        <w:tc>
          <w:tcPr>
            <w:tcW w:w="1795" w:type="dxa"/>
          </w:tcPr>
          <w:p w14:paraId="4AF770D5" w14:textId="77777777" w:rsidR="00F93EE5" w:rsidRPr="00F93EE5" w:rsidRDefault="00F93EE5" w:rsidP="006F32DD">
            <w:pPr>
              <w:widowControl w:val="0"/>
              <w:autoSpaceDE w:val="0"/>
              <w:autoSpaceDN w:val="0"/>
              <w:adjustRightInd w:val="0"/>
              <w:spacing w:line="400" w:lineRule="atLeast"/>
            </w:pPr>
            <w:r w:rsidRPr="00F93EE5">
              <w:t>74,1</w:t>
            </w:r>
          </w:p>
        </w:tc>
        <w:tc>
          <w:tcPr>
            <w:tcW w:w="1796" w:type="dxa"/>
          </w:tcPr>
          <w:p w14:paraId="11B08688" w14:textId="77777777" w:rsidR="00F93EE5" w:rsidRPr="00F93EE5" w:rsidRDefault="00F93EE5" w:rsidP="006F32DD">
            <w:pPr>
              <w:widowControl w:val="0"/>
              <w:autoSpaceDE w:val="0"/>
              <w:autoSpaceDN w:val="0"/>
              <w:adjustRightInd w:val="0"/>
              <w:spacing w:line="400" w:lineRule="atLeast"/>
            </w:pPr>
            <w:r w:rsidRPr="00F93EE5">
              <w:t>72,7</w:t>
            </w:r>
          </w:p>
        </w:tc>
        <w:tc>
          <w:tcPr>
            <w:tcW w:w="1796" w:type="dxa"/>
          </w:tcPr>
          <w:p w14:paraId="3C25B924" w14:textId="77777777" w:rsidR="00F93EE5" w:rsidRPr="00F93EE5" w:rsidRDefault="00F93EE5" w:rsidP="006F32DD">
            <w:pPr>
              <w:widowControl w:val="0"/>
              <w:autoSpaceDE w:val="0"/>
              <w:autoSpaceDN w:val="0"/>
              <w:adjustRightInd w:val="0"/>
              <w:spacing w:line="400" w:lineRule="atLeast"/>
            </w:pPr>
            <w:r w:rsidRPr="00F93EE5">
              <w:t>74</w:t>
            </w:r>
          </w:p>
        </w:tc>
        <w:tc>
          <w:tcPr>
            <w:tcW w:w="1796" w:type="dxa"/>
          </w:tcPr>
          <w:p w14:paraId="0E3C7A97" w14:textId="77777777" w:rsidR="00F93EE5" w:rsidRPr="00F93EE5" w:rsidRDefault="00F93EE5" w:rsidP="006F32DD">
            <w:pPr>
              <w:widowControl w:val="0"/>
              <w:autoSpaceDE w:val="0"/>
              <w:autoSpaceDN w:val="0"/>
              <w:adjustRightInd w:val="0"/>
              <w:spacing w:line="400" w:lineRule="atLeast"/>
            </w:pPr>
            <w:r w:rsidRPr="00F93EE5">
              <w:t>0,92</w:t>
            </w:r>
          </w:p>
        </w:tc>
      </w:tr>
      <w:tr w:rsidR="00F93EE5" w:rsidRPr="00F93EE5" w14:paraId="5D9E52D7" w14:textId="77777777" w:rsidTr="006F32DD">
        <w:tc>
          <w:tcPr>
            <w:tcW w:w="1795" w:type="dxa"/>
          </w:tcPr>
          <w:p w14:paraId="0EAFDFA8" w14:textId="77777777" w:rsidR="00F93EE5" w:rsidRPr="00F93EE5" w:rsidRDefault="00F93EE5" w:rsidP="006F32DD">
            <w:r w:rsidRPr="00F93EE5">
              <w:t>Antihistamínicos</w:t>
            </w:r>
          </w:p>
        </w:tc>
        <w:tc>
          <w:tcPr>
            <w:tcW w:w="1795" w:type="dxa"/>
          </w:tcPr>
          <w:p w14:paraId="0C23F93D" w14:textId="77777777" w:rsidR="00F93EE5" w:rsidRPr="00F93EE5" w:rsidRDefault="00F93EE5" w:rsidP="006F32DD">
            <w:pPr>
              <w:widowControl w:val="0"/>
              <w:autoSpaceDE w:val="0"/>
              <w:autoSpaceDN w:val="0"/>
              <w:adjustRightInd w:val="0"/>
              <w:spacing w:line="400" w:lineRule="atLeast"/>
            </w:pPr>
            <w:r w:rsidRPr="00F93EE5">
              <w:t>46</w:t>
            </w:r>
          </w:p>
        </w:tc>
        <w:tc>
          <w:tcPr>
            <w:tcW w:w="1796" w:type="dxa"/>
          </w:tcPr>
          <w:p w14:paraId="5B1D5E64" w14:textId="77777777" w:rsidR="00F93EE5" w:rsidRPr="00F93EE5" w:rsidRDefault="00F93EE5" w:rsidP="006F32DD">
            <w:pPr>
              <w:widowControl w:val="0"/>
              <w:autoSpaceDE w:val="0"/>
              <w:autoSpaceDN w:val="0"/>
              <w:adjustRightInd w:val="0"/>
              <w:spacing w:line="400" w:lineRule="atLeast"/>
            </w:pPr>
            <w:r w:rsidRPr="00F93EE5">
              <w:t>54,6</w:t>
            </w:r>
          </w:p>
        </w:tc>
        <w:tc>
          <w:tcPr>
            <w:tcW w:w="1796" w:type="dxa"/>
          </w:tcPr>
          <w:p w14:paraId="10BB1C3D" w14:textId="77777777" w:rsidR="00F93EE5" w:rsidRPr="00F93EE5" w:rsidRDefault="00F93EE5" w:rsidP="006F32DD">
            <w:pPr>
              <w:widowControl w:val="0"/>
              <w:autoSpaceDE w:val="0"/>
              <w:autoSpaceDN w:val="0"/>
              <w:adjustRightInd w:val="0"/>
              <w:spacing w:line="400" w:lineRule="atLeast"/>
            </w:pPr>
            <w:r w:rsidRPr="00F93EE5">
              <w:t>46,5</w:t>
            </w:r>
          </w:p>
        </w:tc>
        <w:tc>
          <w:tcPr>
            <w:tcW w:w="1796" w:type="dxa"/>
          </w:tcPr>
          <w:p w14:paraId="753717F0" w14:textId="77777777" w:rsidR="00F93EE5" w:rsidRPr="00F93EE5" w:rsidRDefault="00F93EE5" w:rsidP="006F32DD">
            <w:pPr>
              <w:widowControl w:val="0"/>
              <w:autoSpaceDE w:val="0"/>
              <w:autoSpaceDN w:val="0"/>
              <w:adjustRightInd w:val="0"/>
              <w:spacing w:line="400" w:lineRule="atLeast"/>
            </w:pPr>
            <w:r w:rsidRPr="00F93EE5">
              <w:t>0,58</w:t>
            </w:r>
          </w:p>
        </w:tc>
      </w:tr>
      <w:tr w:rsidR="00F93EE5" w:rsidRPr="00F93EE5" w14:paraId="1C16D797" w14:textId="77777777" w:rsidTr="006F32DD">
        <w:tc>
          <w:tcPr>
            <w:tcW w:w="1795" w:type="dxa"/>
          </w:tcPr>
          <w:p w14:paraId="1DDCD74D" w14:textId="77777777" w:rsidR="00F93EE5" w:rsidRPr="00F93EE5" w:rsidRDefault="00F93EE5" w:rsidP="006F32DD">
            <w:r w:rsidRPr="00F93EE5">
              <w:t>Corticoides tópicos</w:t>
            </w:r>
          </w:p>
        </w:tc>
        <w:tc>
          <w:tcPr>
            <w:tcW w:w="1795" w:type="dxa"/>
          </w:tcPr>
          <w:p w14:paraId="3C3C6C9B" w14:textId="77777777" w:rsidR="00F93EE5" w:rsidRPr="00F93EE5" w:rsidRDefault="00F93EE5" w:rsidP="006F32DD">
            <w:pPr>
              <w:widowControl w:val="0"/>
              <w:autoSpaceDE w:val="0"/>
              <w:autoSpaceDN w:val="0"/>
              <w:adjustRightInd w:val="0"/>
              <w:spacing w:line="400" w:lineRule="atLeast"/>
            </w:pPr>
            <w:r w:rsidRPr="00F93EE5">
              <w:t>11,6</w:t>
            </w:r>
          </w:p>
        </w:tc>
        <w:tc>
          <w:tcPr>
            <w:tcW w:w="1796" w:type="dxa"/>
          </w:tcPr>
          <w:p w14:paraId="751F42A8" w14:textId="77777777" w:rsidR="00F93EE5" w:rsidRPr="00F93EE5" w:rsidRDefault="00F93EE5" w:rsidP="006F32DD">
            <w:pPr>
              <w:widowControl w:val="0"/>
              <w:autoSpaceDE w:val="0"/>
              <w:autoSpaceDN w:val="0"/>
              <w:adjustRightInd w:val="0"/>
              <w:spacing w:line="400" w:lineRule="atLeast"/>
            </w:pPr>
            <w:r w:rsidRPr="00F93EE5">
              <w:t>36,4</w:t>
            </w:r>
          </w:p>
        </w:tc>
        <w:tc>
          <w:tcPr>
            <w:tcW w:w="1796" w:type="dxa"/>
          </w:tcPr>
          <w:p w14:paraId="4B4D2AC1" w14:textId="77777777" w:rsidR="00F93EE5" w:rsidRPr="00F93EE5" w:rsidRDefault="00F93EE5" w:rsidP="006F32DD">
            <w:pPr>
              <w:widowControl w:val="0"/>
              <w:autoSpaceDE w:val="0"/>
              <w:autoSpaceDN w:val="0"/>
              <w:adjustRightInd w:val="0"/>
              <w:spacing w:line="400" w:lineRule="atLeast"/>
            </w:pPr>
            <w:r w:rsidRPr="00F93EE5">
              <w:t>13</w:t>
            </w:r>
          </w:p>
        </w:tc>
        <w:tc>
          <w:tcPr>
            <w:tcW w:w="1796" w:type="dxa"/>
          </w:tcPr>
          <w:p w14:paraId="6A6E148A" w14:textId="77777777" w:rsidR="00F93EE5" w:rsidRPr="00F93EE5" w:rsidRDefault="00F93EE5" w:rsidP="006F32DD">
            <w:pPr>
              <w:widowControl w:val="0"/>
              <w:autoSpaceDE w:val="0"/>
              <w:autoSpaceDN w:val="0"/>
              <w:adjustRightInd w:val="0"/>
              <w:spacing w:line="400" w:lineRule="atLeast"/>
              <w:rPr>
                <w:b/>
                <w:bCs/>
              </w:rPr>
            </w:pPr>
            <w:r w:rsidRPr="00F93EE5">
              <w:rPr>
                <w:b/>
                <w:bCs/>
              </w:rPr>
              <w:t>0,018</w:t>
            </w:r>
          </w:p>
        </w:tc>
      </w:tr>
      <w:tr w:rsidR="00F93EE5" w:rsidRPr="00F93EE5" w14:paraId="59BA5B3E" w14:textId="77777777" w:rsidTr="006F32DD">
        <w:tc>
          <w:tcPr>
            <w:tcW w:w="1795" w:type="dxa"/>
          </w:tcPr>
          <w:p w14:paraId="33596D16" w14:textId="77777777" w:rsidR="00F93EE5" w:rsidRPr="00F93EE5" w:rsidRDefault="00F93EE5" w:rsidP="006F32DD">
            <w:r w:rsidRPr="00F93EE5">
              <w:t>Corticoides sistémicos</w:t>
            </w:r>
          </w:p>
        </w:tc>
        <w:tc>
          <w:tcPr>
            <w:tcW w:w="1795" w:type="dxa"/>
          </w:tcPr>
          <w:p w14:paraId="08BAA56F" w14:textId="77777777" w:rsidR="00F93EE5" w:rsidRPr="00F93EE5" w:rsidRDefault="00F93EE5" w:rsidP="006F32DD">
            <w:pPr>
              <w:widowControl w:val="0"/>
              <w:autoSpaceDE w:val="0"/>
              <w:autoSpaceDN w:val="0"/>
              <w:adjustRightInd w:val="0"/>
              <w:spacing w:line="400" w:lineRule="atLeast"/>
            </w:pPr>
            <w:r w:rsidRPr="00F93EE5">
              <w:t>25,4</w:t>
            </w:r>
          </w:p>
        </w:tc>
        <w:tc>
          <w:tcPr>
            <w:tcW w:w="1796" w:type="dxa"/>
          </w:tcPr>
          <w:p w14:paraId="7B694EE4" w14:textId="77777777" w:rsidR="00F93EE5" w:rsidRPr="00F93EE5" w:rsidRDefault="00F93EE5" w:rsidP="006F32DD">
            <w:pPr>
              <w:widowControl w:val="0"/>
              <w:autoSpaceDE w:val="0"/>
              <w:autoSpaceDN w:val="0"/>
              <w:adjustRightInd w:val="0"/>
              <w:spacing w:line="400" w:lineRule="atLeast"/>
            </w:pPr>
            <w:r w:rsidRPr="00F93EE5">
              <w:t>81,8</w:t>
            </w:r>
          </w:p>
        </w:tc>
        <w:tc>
          <w:tcPr>
            <w:tcW w:w="1796" w:type="dxa"/>
          </w:tcPr>
          <w:p w14:paraId="12046A2E" w14:textId="77777777" w:rsidR="00F93EE5" w:rsidRPr="00F93EE5" w:rsidRDefault="00F93EE5" w:rsidP="006F32DD">
            <w:pPr>
              <w:widowControl w:val="0"/>
              <w:autoSpaceDE w:val="0"/>
              <w:autoSpaceDN w:val="0"/>
              <w:adjustRightInd w:val="0"/>
              <w:spacing w:line="400" w:lineRule="atLeast"/>
            </w:pPr>
            <w:r w:rsidRPr="00F93EE5">
              <w:t>28,5</w:t>
            </w:r>
          </w:p>
        </w:tc>
        <w:tc>
          <w:tcPr>
            <w:tcW w:w="1796" w:type="dxa"/>
          </w:tcPr>
          <w:p w14:paraId="4E6A292C" w14:textId="77777777" w:rsidR="00F93EE5" w:rsidRPr="00F93EE5" w:rsidRDefault="00F93EE5" w:rsidP="006F32DD">
            <w:pPr>
              <w:widowControl w:val="0"/>
              <w:autoSpaceDE w:val="0"/>
              <w:autoSpaceDN w:val="0"/>
              <w:adjustRightInd w:val="0"/>
              <w:spacing w:line="400" w:lineRule="atLeast"/>
              <w:rPr>
                <w:b/>
              </w:rPr>
            </w:pPr>
            <w:r w:rsidRPr="00F93EE5">
              <w:rPr>
                <w:b/>
              </w:rPr>
              <w:t>&lt;0,001</w:t>
            </w:r>
          </w:p>
        </w:tc>
      </w:tr>
      <w:tr w:rsidR="00F93EE5" w:rsidRPr="00F93EE5" w14:paraId="72F83C09" w14:textId="77777777" w:rsidTr="006F32DD">
        <w:tc>
          <w:tcPr>
            <w:tcW w:w="1795" w:type="dxa"/>
          </w:tcPr>
          <w:p w14:paraId="5D4B46B1" w14:textId="77777777" w:rsidR="00F93EE5" w:rsidRPr="00F93EE5" w:rsidRDefault="00F93EE5" w:rsidP="006F32DD">
            <w:proofErr w:type="spellStart"/>
            <w:r w:rsidRPr="00F93EE5">
              <w:t>Colchicina</w:t>
            </w:r>
            <w:proofErr w:type="spellEnd"/>
          </w:p>
        </w:tc>
        <w:tc>
          <w:tcPr>
            <w:tcW w:w="1795" w:type="dxa"/>
          </w:tcPr>
          <w:p w14:paraId="2BE3E718" w14:textId="77777777" w:rsidR="00F93EE5" w:rsidRPr="00F93EE5" w:rsidRDefault="00F93EE5" w:rsidP="006F32DD">
            <w:pPr>
              <w:widowControl w:val="0"/>
              <w:autoSpaceDE w:val="0"/>
              <w:autoSpaceDN w:val="0"/>
              <w:adjustRightInd w:val="0"/>
              <w:spacing w:line="400" w:lineRule="atLeast"/>
            </w:pPr>
            <w:r w:rsidRPr="00F93EE5">
              <w:t>0,5</w:t>
            </w:r>
          </w:p>
        </w:tc>
        <w:tc>
          <w:tcPr>
            <w:tcW w:w="1796" w:type="dxa"/>
          </w:tcPr>
          <w:p w14:paraId="612541AF" w14:textId="77777777" w:rsidR="00F93EE5" w:rsidRPr="00F93EE5" w:rsidRDefault="00F93EE5" w:rsidP="006F32DD">
            <w:pPr>
              <w:widowControl w:val="0"/>
              <w:autoSpaceDE w:val="0"/>
              <w:autoSpaceDN w:val="0"/>
              <w:adjustRightInd w:val="0"/>
              <w:spacing w:line="400" w:lineRule="atLeast"/>
            </w:pPr>
            <w:r w:rsidRPr="00F93EE5">
              <w:t>18,2</w:t>
            </w:r>
          </w:p>
        </w:tc>
        <w:tc>
          <w:tcPr>
            <w:tcW w:w="1796" w:type="dxa"/>
          </w:tcPr>
          <w:p w14:paraId="6D55B8BA" w14:textId="77777777" w:rsidR="00F93EE5" w:rsidRPr="00F93EE5" w:rsidRDefault="00F93EE5" w:rsidP="006F32DD">
            <w:pPr>
              <w:widowControl w:val="0"/>
              <w:autoSpaceDE w:val="0"/>
              <w:autoSpaceDN w:val="0"/>
              <w:adjustRightInd w:val="0"/>
              <w:spacing w:line="400" w:lineRule="atLeast"/>
            </w:pPr>
            <w:r w:rsidRPr="00F93EE5">
              <w:t>1,5</w:t>
            </w:r>
          </w:p>
        </w:tc>
        <w:tc>
          <w:tcPr>
            <w:tcW w:w="1796" w:type="dxa"/>
          </w:tcPr>
          <w:p w14:paraId="0C9CB5D4" w14:textId="77777777" w:rsidR="00F93EE5" w:rsidRPr="00F93EE5" w:rsidRDefault="00F93EE5" w:rsidP="006F32DD">
            <w:pPr>
              <w:widowControl w:val="0"/>
              <w:autoSpaceDE w:val="0"/>
              <w:autoSpaceDN w:val="0"/>
              <w:adjustRightInd w:val="0"/>
              <w:spacing w:line="400" w:lineRule="atLeast"/>
              <w:rPr>
                <w:b/>
              </w:rPr>
            </w:pPr>
            <w:r w:rsidRPr="00F93EE5">
              <w:rPr>
                <w:b/>
              </w:rPr>
              <w:t>&lt;0,001</w:t>
            </w:r>
          </w:p>
        </w:tc>
      </w:tr>
      <w:tr w:rsidR="00F93EE5" w:rsidRPr="00F93EE5" w14:paraId="33FE8ACE" w14:textId="77777777" w:rsidTr="006F32DD">
        <w:tc>
          <w:tcPr>
            <w:tcW w:w="1795" w:type="dxa"/>
          </w:tcPr>
          <w:p w14:paraId="3824240D" w14:textId="77777777" w:rsidR="00F93EE5" w:rsidRPr="00F93EE5" w:rsidRDefault="00F93EE5" w:rsidP="006F32DD">
            <w:proofErr w:type="spellStart"/>
            <w:r w:rsidRPr="00F93EE5">
              <w:t>Dapsona</w:t>
            </w:r>
            <w:proofErr w:type="spellEnd"/>
          </w:p>
        </w:tc>
        <w:tc>
          <w:tcPr>
            <w:tcW w:w="1795" w:type="dxa"/>
          </w:tcPr>
          <w:p w14:paraId="5D87C716" w14:textId="77777777" w:rsidR="00F93EE5" w:rsidRPr="00F93EE5" w:rsidRDefault="00F93EE5" w:rsidP="006F32DD">
            <w:r w:rsidRPr="00F93EE5">
              <w:t>10,6</w:t>
            </w:r>
          </w:p>
        </w:tc>
        <w:tc>
          <w:tcPr>
            <w:tcW w:w="1796" w:type="dxa"/>
          </w:tcPr>
          <w:p w14:paraId="3CED71F5" w14:textId="77777777" w:rsidR="00F93EE5" w:rsidRPr="00F93EE5" w:rsidRDefault="00F93EE5" w:rsidP="006F32DD">
            <w:r w:rsidRPr="00F93EE5">
              <w:t>27,3</w:t>
            </w:r>
          </w:p>
        </w:tc>
        <w:tc>
          <w:tcPr>
            <w:tcW w:w="1796" w:type="dxa"/>
          </w:tcPr>
          <w:p w14:paraId="7C398B1C" w14:textId="77777777" w:rsidR="00F93EE5" w:rsidRPr="00F93EE5" w:rsidRDefault="00F93EE5" w:rsidP="006F32DD">
            <w:r w:rsidRPr="00F93EE5">
              <w:t>11,5</w:t>
            </w:r>
          </w:p>
        </w:tc>
        <w:tc>
          <w:tcPr>
            <w:tcW w:w="1796" w:type="dxa"/>
          </w:tcPr>
          <w:p w14:paraId="469A9979" w14:textId="77777777" w:rsidR="00F93EE5" w:rsidRPr="00F93EE5" w:rsidRDefault="00F93EE5" w:rsidP="006F32DD">
            <w:r w:rsidRPr="00F93EE5">
              <w:t>0,09</w:t>
            </w:r>
          </w:p>
        </w:tc>
      </w:tr>
      <w:tr w:rsidR="00F93EE5" w:rsidRPr="00F93EE5" w14:paraId="68D4DFCF" w14:textId="77777777" w:rsidTr="006F32DD">
        <w:tc>
          <w:tcPr>
            <w:tcW w:w="1795" w:type="dxa"/>
          </w:tcPr>
          <w:p w14:paraId="471FBE21" w14:textId="77777777" w:rsidR="00F93EE5" w:rsidRPr="00F93EE5" w:rsidRDefault="00F93EE5" w:rsidP="006F32DD">
            <w:proofErr w:type="spellStart"/>
            <w:r w:rsidRPr="00F93EE5">
              <w:t>Mupirocina</w:t>
            </w:r>
            <w:proofErr w:type="spellEnd"/>
          </w:p>
        </w:tc>
        <w:tc>
          <w:tcPr>
            <w:tcW w:w="1795" w:type="dxa"/>
          </w:tcPr>
          <w:p w14:paraId="27CDC1CB" w14:textId="77777777" w:rsidR="00F93EE5" w:rsidRPr="00F93EE5" w:rsidRDefault="00F93EE5" w:rsidP="006F32DD">
            <w:r w:rsidRPr="00F93EE5">
              <w:t>1,6</w:t>
            </w:r>
          </w:p>
        </w:tc>
        <w:tc>
          <w:tcPr>
            <w:tcW w:w="1796" w:type="dxa"/>
          </w:tcPr>
          <w:p w14:paraId="1B905F5E" w14:textId="77777777" w:rsidR="00F93EE5" w:rsidRPr="00F93EE5" w:rsidRDefault="00F93EE5" w:rsidP="006F32DD">
            <w:r w:rsidRPr="00F93EE5">
              <w:t>0</w:t>
            </w:r>
          </w:p>
        </w:tc>
        <w:tc>
          <w:tcPr>
            <w:tcW w:w="1796" w:type="dxa"/>
          </w:tcPr>
          <w:p w14:paraId="0CA74BBA" w14:textId="77777777" w:rsidR="00F93EE5" w:rsidRPr="00F93EE5" w:rsidRDefault="00F93EE5" w:rsidP="006F32DD">
            <w:r w:rsidRPr="00F93EE5">
              <w:t>1,5</w:t>
            </w:r>
          </w:p>
        </w:tc>
        <w:tc>
          <w:tcPr>
            <w:tcW w:w="1796" w:type="dxa"/>
          </w:tcPr>
          <w:p w14:paraId="0910E95A" w14:textId="77777777" w:rsidR="00F93EE5" w:rsidRPr="00F93EE5" w:rsidRDefault="00F93EE5" w:rsidP="006F32DD">
            <w:r w:rsidRPr="00F93EE5">
              <w:t>0,67</w:t>
            </w:r>
          </w:p>
        </w:tc>
      </w:tr>
      <w:tr w:rsidR="00F93EE5" w:rsidRPr="00F93EE5" w14:paraId="6B2E2F79" w14:textId="77777777" w:rsidTr="006F32DD">
        <w:tc>
          <w:tcPr>
            <w:tcW w:w="1795" w:type="dxa"/>
          </w:tcPr>
          <w:p w14:paraId="499AF84B" w14:textId="77777777" w:rsidR="00F93EE5" w:rsidRPr="00F93EE5" w:rsidRDefault="00F93EE5" w:rsidP="006F32DD">
            <w:r w:rsidRPr="00F93EE5">
              <w:t>Antibióticos sistémicos</w:t>
            </w:r>
          </w:p>
        </w:tc>
        <w:tc>
          <w:tcPr>
            <w:tcW w:w="1795" w:type="dxa"/>
          </w:tcPr>
          <w:p w14:paraId="593424E5" w14:textId="77777777" w:rsidR="00F93EE5" w:rsidRPr="00F93EE5" w:rsidRDefault="00F93EE5" w:rsidP="006F32DD">
            <w:r w:rsidRPr="00F93EE5">
              <w:t>39,4</w:t>
            </w:r>
          </w:p>
        </w:tc>
        <w:tc>
          <w:tcPr>
            <w:tcW w:w="1796" w:type="dxa"/>
          </w:tcPr>
          <w:p w14:paraId="40784241" w14:textId="77777777" w:rsidR="00F93EE5" w:rsidRPr="00F93EE5" w:rsidRDefault="00F93EE5" w:rsidP="006F32DD">
            <w:r w:rsidRPr="00F93EE5">
              <w:t>81,8</w:t>
            </w:r>
          </w:p>
        </w:tc>
        <w:tc>
          <w:tcPr>
            <w:tcW w:w="1796" w:type="dxa"/>
          </w:tcPr>
          <w:p w14:paraId="60928204" w14:textId="77777777" w:rsidR="00F93EE5" w:rsidRPr="00F93EE5" w:rsidRDefault="00F93EE5" w:rsidP="006F32DD">
            <w:r w:rsidRPr="00F93EE5">
              <w:t>41,7</w:t>
            </w:r>
          </w:p>
        </w:tc>
        <w:tc>
          <w:tcPr>
            <w:tcW w:w="1796" w:type="dxa"/>
          </w:tcPr>
          <w:p w14:paraId="6F92BB73" w14:textId="77777777" w:rsidR="00F93EE5" w:rsidRPr="00F93EE5" w:rsidRDefault="00F93EE5" w:rsidP="006F32DD">
            <w:pPr>
              <w:rPr>
                <w:b/>
              </w:rPr>
            </w:pPr>
            <w:r w:rsidRPr="00F93EE5">
              <w:rPr>
                <w:b/>
              </w:rPr>
              <w:t>0,006</w:t>
            </w:r>
          </w:p>
        </w:tc>
      </w:tr>
      <w:tr w:rsidR="00F93EE5" w:rsidRPr="00F93EE5" w14:paraId="268C4E4D" w14:textId="77777777" w:rsidTr="006F32DD">
        <w:tc>
          <w:tcPr>
            <w:tcW w:w="1795" w:type="dxa"/>
          </w:tcPr>
          <w:p w14:paraId="65E0292B" w14:textId="77777777" w:rsidR="00F93EE5" w:rsidRPr="00F93EE5" w:rsidRDefault="00F93EE5" w:rsidP="006F32DD">
            <w:r w:rsidRPr="00F93EE5">
              <w:t>Vancomicina</w:t>
            </w:r>
          </w:p>
        </w:tc>
        <w:tc>
          <w:tcPr>
            <w:tcW w:w="1795" w:type="dxa"/>
          </w:tcPr>
          <w:p w14:paraId="63984C55" w14:textId="77777777" w:rsidR="00F93EE5" w:rsidRPr="00F93EE5" w:rsidRDefault="00F93EE5" w:rsidP="006F32DD">
            <w:r w:rsidRPr="00F93EE5">
              <w:t>0,5</w:t>
            </w:r>
          </w:p>
        </w:tc>
        <w:tc>
          <w:tcPr>
            <w:tcW w:w="1796" w:type="dxa"/>
          </w:tcPr>
          <w:p w14:paraId="64B5406E" w14:textId="77777777" w:rsidR="00F93EE5" w:rsidRPr="00F93EE5" w:rsidRDefault="00F93EE5" w:rsidP="006F32DD">
            <w:r w:rsidRPr="00F93EE5">
              <w:t>9,1</w:t>
            </w:r>
          </w:p>
        </w:tc>
        <w:tc>
          <w:tcPr>
            <w:tcW w:w="1796" w:type="dxa"/>
          </w:tcPr>
          <w:p w14:paraId="187596DA" w14:textId="77777777" w:rsidR="00F93EE5" w:rsidRPr="00F93EE5" w:rsidRDefault="00F93EE5" w:rsidP="006F32DD">
            <w:r w:rsidRPr="00F93EE5">
              <w:t>1</w:t>
            </w:r>
          </w:p>
        </w:tc>
        <w:tc>
          <w:tcPr>
            <w:tcW w:w="1796" w:type="dxa"/>
          </w:tcPr>
          <w:p w14:paraId="7228E955" w14:textId="77777777" w:rsidR="00F93EE5" w:rsidRPr="00F93EE5" w:rsidRDefault="00F93EE5" w:rsidP="006F32DD">
            <w:pPr>
              <w:rPr>
                <w:b/>
              </w:rPr>
            </w:pPr>
            <w:r w:rsidRPr="00F93EE5">
              <w:rPr>
                <w:b/>
              </w:rPr>
              <w:t>0,006</w:t>
            </w:r>
          </w:p>
        </w:tc>
      </w:tr>
      <w:tr w:rsidR="00F93EE5" w:rsidRPr="00F93EE5" w14:paraId="11BB66D6" w14:textId="77777777" w:rsidTr="006F32DD">
        <w:tc>
          <w:tcPr>
            <w:tcW w:w="1795" w:type="dxa"/>
          </w:tcPr>
          <w:p w14:paraId="6FA4B384" w14:textId="77777777" w:rsidR="00F93EE5" w:rsidRPr="00F93EE5" w:rsidRDefault="00F93EE5" w:rsidP="006F32DD">
            <w:r w:rsidRPr="00F93EE5">
              <w:t>Ampicilina-</w:t>
            </w:r>
            <w:proofErr w:type="spellStart"/>
            <w:r w:rsidRPr="00F93EE5">
              <w:t>Sulbactam</w:t>
            </w:r>
            <w:proofErr w:type="spellEnd"/>
          </w:p>
        </w:tc>
        <w:tc>
          <w:tcPr>
            <w:tcW w:w="1795" w:type="dxa"/>
          </w:tcPr>
          <w:p w14:paraId="1C87BD1A" w14:textId="77777777" w:rsidR="00F93EE5" w:rsidRPr="00F93EE5" w:rsidRDefault="00F93EE5" w:rsidP="006F32DD">
            <w:r w:rsidRPr="00F93EE5">
              <w:t>1,1</w:t>
            </w:r>
          </w:p>
        </w:tc>
        <w:tc>
          <w:tcPr>
            <w:tcW w:w="1796" w:type="dxa"/>
          </w:tcPr>
          <w:p w14:paraId="1E6E4286" w14:textId="77777777" w:rsidR="00F93EE5" w:rsidRPr="00F93EE5" w:rsidRDefault="00F93EE5" w:rsidP="006F32DD">
            <w:r w:rsidRPr="00F93EE5">
              <w:t>9,1</w:t>
            </w:r>
          </w:p>
        </w:tc>
        <w:tc>
          <w:tcPr>
            <w:tcW w:w="1796" w:type="dxa"/>
          </w:tcPr>
          <w:p w14:paraId="06FACB60" w14:textId="77777777" w:rsidR="00F93EE5" w:rsidRPr="00F93EE5" w:rsidRDefault="00F93EE5" w:rsidP="006F32DD">
            <w:r w:rsidRPr="00F93EE5">
              <w:t>1,5</w:t>
            </w:r>
          </w:p>
        </w:tc>
        <w:tc>
          <w:tcPr>
            <w:tcW w:w="1796" w:type="dxa"/>
          </w:tcPr>
          <w:p w14:paraId="5E58DA4B" w14:textId="77777777" w:rsidR="00F93EE5" w:rsidRPr="00F93EE5" w:rsidRDefault="00F93EE5" w:rsidP="006F32DD">
            <w:pPr>
              <w:rPr>
                <w:b/>
              </w:rPr>
            </w:pPr>
            <w:r w:rsidRPr="00F93EE5">
              <w:rPr>
                <w:b/>
              </w:rPr>
              <w:t>0,033</w:t>
            </w:r>
          </w:p>
        </w:tc>
      </w:tr>
      <w:tr w:rsidR="00F93EE5" w:rsidRPr="00F93EE5" w14:paraId="6061729A" w14:textId="77777777" w:rsidTr="006F32DD">
        <w:tc>
          <w:tcPr>
            <w:tcW w:w="1795" w:type="dxa"/>
          </w:tcPr>
          <w:p w14:paraId="5D64CF52" w14:textId="77777777" w:rsidR="00F93EE5" w:rsidRPr="00F93EE5" w:rsidRDefault="00F93EE5" w:rsidP="006F32DD">
            <w:r w:rsidRPr="00F93EE5">
              <w:t xml:space="preserve">Amoxicilina- Ac. </w:t>
            </w:r>
            <w:proofErr w:type="spellStart"/>
            <w:r w:rsidRPr="00F93EE5">
              <w:t>clavulánico</w:t>
            </w:r>
            <w:proofErr w:type="spellEnd"/>
          </w:p>
        </w:tc>
        <w:tc>
          <w:tcPr>
            <w:tcW w:w="1795" w:type="dxa"/>
          </w:tcPr>
          <w:p w14:paraId="7F7263BD" w14:textId="77777777" w:rsidR="00F93EE5" w:rsidRPr="00F93EE5" w:rsidRDefault="00F93EE5" w:rsidP="006F32DD">
            <w:r w:rsidRPr="00F93EE5">
              <w:t>1,6</w:t>
            </w:r>
          </w:p>
        </w:tc>
        <w:tc>
          <w:tcPr>
            <w:tcW w:w="1796" w:type="dxa"/>
          </w:tcPr>
          <w:p w14:paraId="62693987" w14:textId="77777777" w:rsidR="00F93EE5" w:rsidRPr="00F93EE5" w:rsidRDefault="00F93EE5" w:rsidP="006F32DD">
            <w:r w:rsidRPr="00F93EE5">
              <w:t>9,1</w:t>
            </w:r>
          </w:p>
        </w:tc>
        <w:tc>
          <w:tcPr>
            <w:tcW w:w="1796" w:type="dxa"/>
          </w:tcPr>
          <w:p w14:paraId="79D0D139" w14:textId="77777777" w:rsidR="00F93EE5" w:rsidRPr="00F93EE5" w:rsidRDefault="00F93EE5" w:rsidP="006F32DD">
            <w:r w:rsidRPr="00F93EE5">
              <w:t>2</w:t>
            </w:r>
          </w:p>
        </w:tc>
        <w:tc>
          <w:tcPr>
            <w:tcW w:w="1796" w:type="dxa"/>
          </w:tcPr>
          <w:p w14:paraId="5AF76819" w14:textId="77777777" w:rsidR="00F93EE5" w:rsidRPr="00F93EE5" w:rsidRDefault="00F93EE5" w:rsidP="006F32DD">
            <w:r w:rsidRPr="00F93EE5">
              <w:t>0,084</w:t>
            </w:r>
          </w:p>
        </w:tc>
      </w:tr>
      <w:tr w:rsidR="00F93EE5" w:rsidRPr="00F93EE5" w14:paraId="15D263BF" w14:textId="77777777" w:rsidTr="006F32DD">
        <w:tc>
          <w:tcPr>
            <w:tcW w:w="1795" w:type="dxa"/>
          </w:tcPr>
          <w:p w14:paraId="157670E3" w14:textId="77777777" w:rsidR="00F93EE5" w:rsidRPr="00F93EE5" w:rsidRDefault="00F93EE5" w:rsidP="006F32DD">
            <w:proofErr w:type="spellStart"/>
            <w:r w:rsidRPr="00F93EE5">
              <w:t>Ciprofloxacino</w:t>
            </w:r>
            <w:proofErr w:type="spellEnd"/>
          </w:p>
        </w:tc>
        <w:tc>
          <w:tcPr>
            <w:tcW w:w="1795" w:type="dxa"/>
          </w:tcPr>
          <w:p w14:paraId="7BD5805D" w14:textId="77777777" w:rsidR="00F93EE5" w:rsidRPr="00F93EE5" w:rsidRDefault="00F93EE5" w:rsidP="006F32DD">
            <w:r w:rsidRPr="00F93EE5">
              <w:t>2,1</w:t>
            </w:r>
          </w:p>
        </w:tc>
        <w:tc>
          <w:tcPr>
            <w:tcW w:w="1796" w:type="dxa"/>
          </w:tcPr>
          <w:p w14:paraId="48AA7010" w14:textId="77777777" w:rsidR="00F93EE5" w:rsidRPr="00F93EE5" w:rsidRDefault="00F93EE5" w:rsidP="006F32DD">
            <w:r w:rsidRPr="00F93EE5">
              <w:t>0</w:t>
            </w:r>
          </w:p>
        </w:tc>
        <w:tc>
          <w:tcPr>
            <w:tcW w:w="1796" w:type="dxa"/>
          </w:tcPr>
          <w:p w14:paraId="4D99EE74" w14:textId="77777777" w:rsidR="00F93EE5" w:rsidRPr="00F93EE5" w:rsidRDefault="00F93EE5" w:rsidP="006F32DD">
            <w:r w:rsidRPr="00F93EE5">
              <w:t>2</w:t>
            </w:r>
          </w:p>
        </w:tc>
        <w:tc>
          <w:tcPr>
            <w:tcW w:w="1796" w:type="dxa"/>
          </w:tcPr>
          <w:p w14:paraId="255DAD69" w14:textId="77777777" w:rsidR="00F93EE5" w:rsidRPr="00F93EE5" w:rsidRDefault="00F93EE5" w:rsidP="006F32DD">
            <w:r w:rsidRPr="00F93EE5">
              <w:t>0,63</w:t>
            </w:r>
          </w:p>
        </w:tc>
      </w:tr>
      <w:tr w:rsidR="00F93EE5" w:rsidRPr="00F93EE5" w14:paraId="7EDCDB77" w14:textId="77777777" w:rsidTr="006F32DD">
        <w:tc>
          <w:tcPr>
            <w:tcW w:w="1795" w:type="dxa"/>
          </w:tcPr>
          <w:p w14:paraId="43495E9E" w14:textId="77777777" w:rsidR="00F93EE5" w:rsidRPr="00F93EE5" w:rsidRDefault="00F93EE5" w:rsidP="006F32DD">
            <w:proofErr w:type="spellStart"/>
            <w:r w:rsidRPr="00F93EE5">
              <w:t>Clindamicina</w:t>
            </w:r>
            <w:proofErr w:type="spellEnd"/>
          </w:p>
        </w:tc>
        <w:tc>
          <w:tcPr>
            <w:tcW w:w="1795" w:type="dxa"/>
          </w:tcPr>
          <w:p w14:paraId="70BFB122" w14:textId="77777777" w:rsidR="00F93EE5" w:rsidRPr="00F93EE5" w:rsidRDefault="00F93EE5" w:rsidP="006F32DD">
            <w:r w:rsidRPr="00F93EE5">
              <w:t>4,8</w:t>
            </w:r>
          </w:p>
        </w:tc>
        <w:tc>
          <w:tcPr>
            <w:tcW w:w="1796" w:type="dxa"/>
          </w:tcPr>
          <w:p w14:paraId="04FB481C" w14:textId="77777777" w:rsidR="00F93EE5" w:rsidRPr="00F93EE5" w:rsidRDefault="00F93EE5" w:rsidP="006F32DD">
            <w:r w:rsidRPr="00F93EE5">
              <w:t>27,3</w:t>
            </w:r>
          </w:p>
        </w:tc>
        <w:tc>
          <w:tcPr>
            <w:tcW w:w="1796" w:type="dxa"/>
          </w:tcPr>
          <w:p w14:paraId="370A1D3C" w14:textId="77777777" w:rsidR="00F93EE5" w:rsidRPr="00F93EE5" w:rsidRDefault="00F93EE5" w:rsidP="006F32DD">
            <w:r w:rsidRPr="00F93EE5">
              <w:t>6</w:t>
            </w:r>
          </w:p>
        </w:tc>
        <w:tc>
          <w:tcPr>
            <w:tcW w:w="1796" w:type="dxa"/>
          </w:tcPr>
          <w:p w14:paraId="1A105014" w14:textId="77777777" w:rsidR="00F93EE5" w:rsidRPr="00F93EE5" w:rsidRDefault="00F93EE5" w:rsidP="006F32DD">
            <w:pPr>
              <w:rPr>
                <w:b/>
              </w:rPr>
            </w:pPr>
            <w:r w:rsidRPr="00F93EE5">
              <w:rPr>
                <w:b/>
              </w:rPr>
              <w:t>0,002</w:t>
            </w:r>
          </w:p>
        </w:tc>
      </w:tr>
      <w:tr w:rsidR="00F93EE5" w:rsidRPr="00F93EE5" w14:paraId="2E642FB7" w14:textId="77777777" w:rsidTr="006F32DD">
        <w:tc>
          <w:tcPr>
            <w:tcW w:w="1795" w:type="dxa"/>
          </w:tcPr>
          <w:p w14:paraId="79DC5A04" w14:textId="77777777" w:rsidR="00F93EE5" w:rsidRPr="00F93EE5" w:rsidRDefault="00F93EE5" w:rsidP="006F32DD">
            <w:proofErr w:type="spellStart"/>
            <w:r w:rsidRPr="00F93EE5">
              <w:t>Doxiciclina</w:t>
            </w:r>
            <w:proofErr w:type="spellEnd"/>
          </w:p>
        </w:tc>
        <w:tc>
          <w:tcPr>
            <w:tcW w:w="1795" w:type="dxa"/>
          </w:tcPr>
          <w:p w14:paraId="157639FA" w14:textId="77777777" w:rsidR="00F93EE5" w:rsidRPr="00F93EE5" w:rsidRDefault="00F93EE5" w:rsidP="006F32DD">
            <w:r w:rsidRPr="00F93EE5">
              <w:t>1,1</w:t>
            </w:r>
          </w:p>
        </w:tc>
        <w:tc>
          <w:tcPr>
            <w:tcW w:w="1796" w:type="dxa"/>
          </w:tcPr>
          <w:p w14:paraId="739ADC4C" w14:textId="77777777" w:rsidR="00F93EE5" w:rsidRPr="00F93EE5" w:rsidRDefault="00F93EE5" w:rsidP="006F32DD">
            <w:r w:rsidRPr="00F93EE5">
              <w:t>9,1</w:t>
            </w:r>
          </w:p>
        </w:tc>
        <w:tc>
          <w:tcPr>
            <w:tcW w:w="1796" w:type="dxa"/>
          </w:tcPr>
          <w:p w14:paraId="17023D75" w14:textId="77777777" w:rsidR="00F93EE5" w:rsidRPr="00F93EE5" w:rsidRDefault="00F93EE5" w:rsidP="006F32DD">
            <w:r w:rsidRPr="00F93EE5">
              <w:t>1,5</w:t>
            </w:r>
          </w:p>
        </w:tc>
        <w:tc>
          <w:tcPr>
            <w:tcW w:w="1796" w:type="dxa"/>
          </w:tcPr>
          <w:p w14:paraId="4BFC7012" w14:textId="77777777" w:rsidR="00F93EE5" w:rsidRPr="00F93EE5" w:rsidRDefault="00F93EE5" w:rsidP="006F32DD">
            <w:pPr>
              <w:rPr>
                <w:b/>
              </w:rPr>
            </w:pPr>
            <w:r w:rsidRPr="00F93EE5">
              <w:rPr>
                <w:b/>
              </w:rPr>
              <w:t>0,033</w:t>
            </w:r>
          </w:p>
        </w:tc>
      </w:tr>
      <w:tr w:rsidR="00F93EE5" w:rsidRPr="00F93EE5" w14:paraId="0E5DE39E" w14:textId="77777777" w:rsidTr="006F32DD">
        <w:tc>
          <w:tcPr>
            <w:tcW w:w="1795" w:type="dxa"/>
          </w:tcPr>
          <w:p w14:paraId="54875CC4" w14:textId="77777777" w:rsidR="00F93EE5" w:rsidRPr="00F93EE5" w:rsidRDefault="00F93EE5" w:rsidP="006F32DD">
            <w:proofErr w:type="spellStart"/>
            <w:r w:rsidRPr="00F93EE5">
              <w:t>Cefadroxilo</w:t>
            </w:r>
            <w:proofErr w:type="spellEnd"/>
          </w:p>
        </w:tc>
        <w:tc>
          <w:tcPr>
            <w:tcW w:w="1795" w:type="dxa"/>
          </w:tcPr>
          <w:p w14:paraId="67FEAA83" w14:textId="77777777" w:rsidR="00F93EE5" w:rsidRPr="00F93EE5" w:rsidRDefault="00F93EE5" w:rsidP="006F32DD">
            <w:r w:rsidRPr="00F93EE5">
              <w:t>27</w:t>
            </w:r>
          </w:p>
        </w:tc>
        <w:tc>
          <w:tcPr>
            <w:tcW w:w="1796" w:type="dxa"/>
          </w:tcPr>
          <w:p w14:paraId="2FE03F3A" w14:textId="77777777" w:rsidR="00F93EE5" w:rsidRPr="00F93EE5" w:rsidRDefault="00F93EE5" w:rsidP="006F32DD">
            <w:r w:rsidRPr="00F93EE5">
              <w:t>27,3</w:t>
            </w:r>
          </w:p>
        </w:tc>
        <w:tc>
          <w:tcPr>
            <w:tcW w:w="1796" w:type="dxa"/>
          </w:tcPr>
          <w:p w14:paraId="48E67387" w14:textId="77777777" w:rsidR="00F93EE5" w:rsidRPr="00F93EE5" w:rsidRDefault="00F93EE5" w:rsidP="006F32DD">
            <w:r w:rsidRPr="00F93EE5">
              <w:t>27</w:t>
            </w:r>
          </w:p>
        </w:tc>
        <w:tc>
          <w:tcPr>
            <w:tcW w:w="1796" w:type="dxa"/>
          </w:tcPr>
          <w:p w14:paraId="4BEAEB9E" w14:textId="77777777" w:rsidR="00F93EE5" w:rsidRPr="00F93EE5" w:rsidRDefault="00F93EE5" w:rsidP="006F32DD">
            <w:r w:rsidRPr="00F93EE5">
              <w:t>0,98</w:t>
            </w:r>
          </w:p>
        </w:tc>
      </w:tr>
      <w:tr w:rsidR="00F93EE5" w:rsidRPr="00F93EE5" w14:paraId="43EACECC" w14:textId="77777777" w:rsidTr="006F32DD">
        <w:tc>
          <w:tcPr>
            <w:tcW w:w="1795" w:type="dxa"/>
          </w:tcPr>
          <w:p w14:paraId="42F1E85C" w14:textId="77777777" w:rsidR="00F93EE5" w:rsidRPr="00F93EE5" w:rsidRDefault="00F93EE5" w:rsidP="006F32DD">
            <w:proofErr w:type="spellStart"/>
            <w:r w:rsidRPr="00F93EE5">
              <w:t>Cefazolina</w:t>
            </w:r>
            <w:proofErr w:type="spellEnd"/>
          </w:p>
        </w:tc>
        <w:tc>
          <w:tcPr>
            <w:tcW w:w="1795" w:type="dxa"/>
          </w:tcPr>
          <w:p w14:paraId="556BE198" w14:textId="77777777" w:rsidR="00F93EE5" w:rsidRPr="00F93EE5" w:rsidRDefault="00F93EE5" w:rsidP="006F32DD">
            <w:r w:rsidRPr="00F93EE5">
              <w:t>7,4</w:t>
            </w:r>
          </w:p>
        </w:tc>
        <w:tc>
          <w:tcPr>
            <w:tcW w:w="1796" w:type="dxa"/>
          </w:tcPr>
          <w:p w14:paraId="26BA6BB2" w14:textId="77777777" w:rsidR="00F93EE5" w:rsidRPr="00F93EE5" w:rsidRDefault="00F93EE5" w:rsidP="006F32DD">
            <w:r w:rsidRPr="00F93EE5">
              <w:t>45,5</w:t>
            </w:r>
          </w:p>
        </w:tc>
        <w:tc>
          <w:tcPr>
            <w:tcW w:w="1796" w:type="dxa"/>
          </w:tcPr>
          <w:p w14:paraId="58C25F95" w14:textId="77777777" w:rsidR="00F93EE5" w:rsidRPr="00F93EE5" w:rsidRDefault="00F93EE5" w:rsidP="006F32DD">
            <w:r w:rsidRPr="00F93EE5">
              <w:t>9,5</w:t>
            </w:r>
          </w:p>
        </w:tc>
        <w:tc>
          <w:tcPr>
            <w:tcW w:w="1796" w:type="dxa"/>
          </w:tcPr>
          <w:p w14:paraId="33D9C1C1" w14:textId="77777777" w:rsidR="00F93EE5" w:rsidRPr="00F93EE5" w:rsidRDefault="00F93EE5" w:rsidP="006F32DD">
            <w:pPr>
              <w:rPr>
                <w:b/>
              </w:rPr>
            </w:pPr>
            <w:r w:rsidRPr="00F93EE5">
              <w:rPr>
                <w:b/>
              </w:rPr>
              <w:t>&lt;0,001</w:t>
            </w:r>
          </w:p>
        </w:tc>
      </w:tr>
      <w:tr w:rsidR="00F93EE5" w:rsidRPr="00F93EE5" w14:paraId="2A1F8887" w14:textId="77777777" w:rsidTr="006F32DD">
        <w:tc>
          <w:tcPr>
            <w:tcW w:w="1795" w:type="dxa"/>
          </w:tcPr>
          <w:p w14:paraId="220C3F1A" w14:textId="77777777" w:rsidR="00F93EE5" w:rsidRPr="00F93EE5" w:rsidRDefault="00F93EE5" w:rsidP="006F32DD">
            <w:proofErr w:type="spellStart"/>
            <w:r w:rsidRPr="00F93EE5">
              <w:t>Cloxacilina</w:t>
            </w:r>
            <w:proofErr w:type="spellEnd"/>
          </w:p>
        </w:tc>
        <w:tc>
          <w:tcPr>
            <w:tcW w:w="1795" w:type="dxa"/>
          </w:tcPr>
          <w:p w14:paraId="4ADD9DDD" w14:textId="77777777" w:rsidR="00F93EE5" w:rsidRPr="00F93EE5" w:rsidRDefault="00F93EE5" w:rsidP="006F32DD">
            <w:r w:rsidRPr="00F93EE5">
              <w:t>2,7</w:t>
            </w:r>
          </w:p>
        </w:tc>
        <w:tc>
          <w:tcPr>
            <w:tcW w:w="1796" w:type="dxa"/>
          </w:tcPr>
          <w:p w14:paraId="32FE03D3" w14:textId="77777777" w:rsidR="00F93EE5" w:rsidRPr="00F93EE5" w:rsidRDefault="00F93EE5" w:rsidP="006F32DD">
            <w:r w:rsidRPr="00F93EE5">
              <w:t>0</w:t>
            </w:r>
          </w:p>
        </w:tc>
        <w:tc>
          <w:tcPr>
            <w:tcW w:w="1796" w:type="dxa"/>
          </w:tcPr>
          <w:p w14:paraId="55E575A4" w14:textId="77777777" w:rsidR="00F93EE5" w:rsidRPr="00F93EE5" w:rsidRDefault="00F93EE5" w:rsidP="006F32DD">
            <w:r w:rsidRPr="00F93EE5">
              <w:t>2,5</w:t>
            </w:r>
          </w:p>
        </w:tc>
        <w:tc>
          <w:tcPr>
            <w:tcW w:w="1796" w:type="dxa"/>
          </w:tcPr>
          <w:p w14:paraId="5EDEF310" w14:textId="77777777" w:rsidR="00F93EE5" w:rsidRPr="00F93EE5" w:rsidRDefault="00F93EE5" w:rsidP="006F32DD">
            <w:r w:rsidRPr="00F93EE5">
              <w:t>0,59</w:t>
            </w:r>
          </w:p>
        </w:tc>
      </w:tr>
      <w:tr w:rsidR="00F93EE5" w:rsidRPr="00F93EE5" w14:paraId="7418A26A" w14:textId="77777777" w:rsidTr="006F32DD">
        <w:tc>
          <w:tcPr>
            <w:tcW w:w="1795" w:type="dxa"/>
          </w:tcPr>
          <w:p w14:paraId="16C5631C" w14:textId="77777777" w:rsidR="00F93EE5" w:rsidRPr="00F93EE5" w:rsidRDefault="00F93EE5" w:rsidP="006F32DD">
            <w:proofErr w:type="spellStart"/>
            <w:r w:rsidRPr="00F93EE5">
              <w:t>Ceftriaxona</w:t>
            </w:r>
            <w:proofErr w:type="spellEnd"/>
          </w:p>
        </w:tc>
        <w:tc>
          <w:tcPr>
            <w:tcW w:w="1795" w:type="dxa"/>
          </w:tcPr>
          <w:p w14:paraId="2D77E843" w14:textId="77777777" w:rsidR="00F93EE5" w:rsidRPr="00F93EE5" w:rsidRDefault="00F93EE5" w:rsidP="006F32DD">
            <w:r w:rsidRPr="00F93EE5">
              <w:t>2,1</w:t>
            </w:r>
          </w:p>
        </w:tc>
        <w:tc>
          <w:tcPr>
            <w:tcW w:w="1796" w:type="dxa"/>
          </w:tcPr>
          <w:p w14:paraId="6C1629EE" w14:textId="77777777" w:rsidR="00F93EE5" w:rsidRPr="00F93EE5" w:rsidRDefault="00F93EE5" w:rsidP="006F32DD">
            <w:r w:rsidRPr="00F93EE5">
              <w:t>9,1</w:t>
            </w:r>
          </w:p>
        </w:tc>
        <w:tc>
          <w:tcPr>
            <w:tcW w:w="1796" w:type="dxa"/>
          </w:tcPr>
          <w:p w14:paraId="29537644" w14:textId="77777777" w:rsidR="00F93EE5" w:rsidRPr="00F93EE5" w:rsidRDefault="00F93EE5" w:rsidP="006F32DD">
            <w:r w:rsidRPr="00F93EE5">
              <w:t>2,5</w:t>
            </w:r>
          </w:p>
        </w:tc>
        <w:tc>
          <w:tcPr>
            <w:tcW w:w="1796" w:type="dxa"/>
          </w:tcPr>
          <w:p w14:paraId="01ECCA46" w14:textId="77777777" w:rsidR="00F93EE5" w:rsidRPr="00F93EE5" w:rsidRDefault="00F93EE5" w:rsidP="006F32DD">
            <w:r w:rsidRPr="00F93EE5">
              <w:t>0,15</w:t>
            </w:r>
          </w:p>
        </w:tc>
      </w:tr>
    </w:tbl>
    <w:p w14:paraId="701BA52F" w14:textId="77777777" w:rsidR="002321FF" w:rsidRPr="00235B0E" w:rsidRDefault="002321FF" w:rsidP="002321FF">
      <w:pPr>
        <w:widowControl w:val="0"/>
        <w:autoSpaceDE w:val="0"/>
        <w:autoSpaceDN w:val="0"/>
        <w:adjustRightInd w:val="0"/>
        <w:spacing w:after="240"/>
        <w:jc w:val="both"/>
        <w:rPr>
          <w:b/>
        </w:rPr>
      </w:pPr>
    </w:p>
    <w:p w14:paraId="6F9CE366" w14:textId="77777777" w:rsidR="00291B21" w:rsidRDefault="00291B21"/>
    <w:p w14:paraId="70CCAC79" w14:textId="77777777" w:rsidR="00B16489" w:rsidRDefault="00B16489"/>
    <w:p w14:paraId="770197DD" w14:textId="77777777" w:rsidR="00B16489" w:rsidRDefault="00B16489"/>
    <w:p w14:paraId="132BE782" w14:textId="77777777" w:rsidR="00B16489" w:rsidRDefault="00B16489"/>
    <w:p w14:paraId="165D2133" w14:textId="77777777" w:rsidR="00B16489" w:rsidRDefault="00B16489"/>
    <w:p w14:paraId="4F71E29D" w14:textId="77777777" w:rsidR="00B16489" w:rsidRPr="00235B0E" w:rsidRDefault="00B16489"/>
    <w:sectPr w:rsidR="00B16489" w:rsidRPr="00235B0E" w:rsidSect="00440653">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6CFC5" w14:textId="77777777" w:rsidR="00F55415" w:rsidRDefault="00F55415" w:rsidP="002351B4">
      <w:r>
        <w:separator/>
      </w:r>
    </w:p>
  </w:endnote>
  <w:endnote w:type="continuationSeparator" w:id="0">
    <w:p w14:paraId="4EBC163D" w14:textId="77777777" w:rsidR="00F55415" w:rsidRDefault="00F55415" w:rsidP="0023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25BE9" w14:textId="77777777" w:rsidR="00F55415" w:rsidRDefault="00F55415" w:rsidP="002351B4">
      <w:r>
        <w:separator/>
      </w:r>
    </w:p>
  </w:footnote>
  <w:footnote w:type="continuationSeparator" w:id="0">
    <w:p w14:paraId="73F1EEBC" w14:textId="77777777" w:rsidR="00F55415" w:rsidRDefault="00F55415" w:rsidP="0023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040241969"/>
      <w:docPartObj>
        <w:docPartGallery w:val="Page Numbers (Top of Page)"/>
        <w:docPartUnique/>
      </w:docPartObj>
    </w:sdtPr>
    <w:sdtEndPr>
      <w:rPr>
        <w:rStyle w:val="Nmerodepgina"/>
      </w:rPr>
    </w:sdtEndPr>
    <w:sdtContent>
      <w:p w14:paraId="496415A5" w14:textId="77777777" w:rsidR="002A7CDF" w:rsidRDefault="002A7CDF" w:rsidP="00A64451">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F9F2D5D" w14:textId="77777777" w:rsidR="002A7CDF" w:rsidRDefault="002A7CDF" w:rsidP="002351B4">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447738490"/>
      <w:docPartObj>
        <w:docPartGallery w:val="Page Numbers (Top of Page)"/>
        <w:docPartUnique/>
      </w:docPartObj>
    </w:sdtPr>
    <w:sdtEndPr>
      <w:rPr>
        <w:rStyle w:val="Nmerodepgina"/>
      </w:rPr>
    </w:sdtEndPr>
    <w:sdtContent>
      <w:p w14:paraId="57C9B2BA" w14:textId="77777777" w:rsidR="002A7CDF" w:rsidRDefault="002A7CDF" w:rsidP="00A64451">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41793">
          <w:rPr>
            <w:rStyle w:val="Nmerodepgina"/>
            <w:noProof/>
          </w:rPr>
          <w:t>4</w:t>
        </w:r>
        <w:r>
          <w:rPr>
            <w:rStyle w:val="Nmerodepgina"/>
          </w:rPr>
          <w:fldChar w:fldCharType="end"/>
        </w:r>
      </w:p>
    </w:sdtContent>
  </w:sdt>
  <w:p w14:paraId="6FDA7F6E" w14:textId="77777777" w:rsidR="002A7CDF" w:rsidRDefault="002A7CDF" w:rsidP="002351B4">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1FF"/>
    <w:rsid w:val="00010DCA"/>
    <w:rsid w:val="000114AF"/>
    <w:rsid w:val="00021BF9"/>
    <w:rsid w:val="00024673"/>
    <w:rsid w:val="00035682"/>
    <w:rsid w:val="00050A2D"/>
    <w:rsid w:val="0005688B"/>
    <w:rsid w:val="000603FD"/>
    <w:rsid w:val="00060CE7"/>
    <w:rsid w:val="00082E30"/>
    <w:rsid w:val="000865FF"/>
    <w:rsid w:val="000A47DD"/>
    <w:rsid w:val="000B14BA"/>
    <w:rsid w:val="000C21BA"/>
    <w:rsid w:val="000D30FE"/>
    <w:rsid w:val="000D3192"/>
    <w:rsid w:val="000E5805"/>
    <w:rsid w:val="000E7A1D"/>
    <w:rsid w:val="001105D2"/>
    <w:rsid w:val="00114FD5"/>
    <w:rsid w:val="00130483"/>
    <w:rsid w:val="0013362A"/>
    <w:rsid w:val="00137045"/>
    <w:rsid w:val="00145EEA"/>
    <w:rsid w:val="00160512"/>
    <w:rsid w:val="00183FC9"/>
    <w:rsid w:val="001844DA"/>
    <w:rsid w:val="00186629"/>
    <w:rsid w:val="001B0B9D"/>
    <w:rsid w:val="001B44DA"/>
    <w:rsid w:val="001E3637"/>
    <w:rsid w:val="001E772B"/>
    <w:rsid w:val="001F1515"/>
    <w:rsid w:val="0021610D"/>
    <w:rsid w:val="00221B1F"/>
    <w:rsid w:val="00224AAA"/>
    <w:rsid w:val="00227E97"/>
    <w:rsid w:val="002307D1"/>
    <w:rsid w:val="002321FF"/>
    <w:rsid w:val="002351B4"/>
    <w:rsid w:val="00235B0E"/>
    <w:rsid w:val="0023696B"/>
    <w:rsid w:val="00242CBA"/>
    <w:rsid w:val="00252CCE"/>
    <w:rsid w:val="00284B74"/>
    <w:rsid w:val="00291B21"/>
    <w:rsid w:val="002958A5"/>
    <w:rsid w:val="00295986"/>
    <w:rsid w:val="002A7CDF"/>
    <w:rsid w:val="002F5138"/>
    <w:rsid w:val="00316DC7"/>
    <w:rsid w:val="00320521"/>
    <w:rsid w:val="0035048B"/>
    <w:rsid w:val="00354A38"/>
    <w:rsid w:val="0036575E"/>
    <w:rsid w:val="00374C91"/>
    <w:rsid w:val="0037588F"/>
    <w:rsid w:val="0037753F"/>
    <w:rsid w:val="00381A3D"/>
    <w:rsid w:val="00387F2D"/>
    <w:rsid w:val="0039220C"/>
    <w:rsid w:val="00392F62"/>
    <w:rsid w:val="003A2CBC"/>
    <w:rsid w:val="003B3C09"/>
    <w:rsid w:val="003B5998"/>
    <w:rsid w:val="003D1FE2"/>
    <w:rsid w:val="003E51FE"/>
    <w:rsid w:val="003F25F6"/>
    <w:rsid w:val="003F4075"/>
    <w:rsid w:val="00410AC1"/>
    <w:rsid w:val="00416F80"/>
    <w:rsid w:val="0042089B"/>
    <w:rsid w:val="004377E6"/>
    <w:rsid w:val="00437A95"/>
    <w:rsid w:val="00440653"/>
    <w:rsid w:val="00455A2C"/>
    <w:rsid w:val="00466476"/>
    <w:rsid w:val="0047403D"/>
    <w:rsid w:val="004878D4"/>
    <w:rsid w:val="004A1FCB"/>
    <w:rsid w:val="004A5897"/>
    <w:rsid w:val="004A70DA"/>
    <w:rsid w:val="004B0438"/>
    <w:rsid w:val="004D053F"/>
    <w:rsid w:val="004D096A"/>
    <w:rsid w:val="004D3FD8"/>
    <w:rsid w:val="005071D3"/>
    <w:rsid w:val="00513D26"/>
    <w:rsid w:val="0054063E"/>
    <w:rsid w:val="00541793"/>
    <w:rsid w:val="00547535"/>
    <w:rsid w:val="00562029"/>
    <w:rsid w:val="00562417"/>
    <w:rsid w:val="00566E73"/>
    <w:rsid w:val="00595F69"/>
    <w:rsid w:val="005A3677"/>
    <w:rsid w:val="005A658E"/>
    <w:rsid w:val="005C0AC5"/>
    <w:rsid w:val="005E0080"/>
    <w:rsid w:val="005E02FA"/>
    <w:rsid w:val="00631F36"/>
    <w:rsid w:val="00647C6A"/>
    <w:rsid w:val="006539C5"/>
    <w:rsid w:val="006725FE"/>
    <w:rsid w:val="00681E22"/>
    <w:rsid w:val="00681FA9"/>
    <w:rsid w:val="0068693E"/>
    <w:rsid w:val="00687889"/>
    <w:rsid w:val="00695A26"/>
    <w:rsid w:val="006A0C6D"/>
    <w:rsid w:val="006C17E8"/>
    <w:rsid w:val="006C7669"/>
    <w:rsid w:val="006F32DD"/>
    <w:rsid w:val="0071523D"/>
    <w:rsid w:val="007373B4"/>
    <w:rsid w:val="0074760C"/>
    <w:rsid w:val="0075258A"/>
    <w:rsid w:val="00755082"/>
    <w:rsid w:val="00776583"/>
    <w:rsid w:val="007B0088"/>
    <w:rsid w:val="007D1847"/>
    <w:rsid w:val="007E4C11"/>
    <w:rsid w:val="007F5FAB"/>
    <w:rsid w:val="008146F9"/>
    <w:rsid w:val="00815335"/>
    <w:rsid w:val="0082495E"/>
    <w:rsid w:val="00826638"/>
    <w:rsid w:val="008538DC"/>
    <w:rsid w:val="008657E6"/>
    <w:rsid w:val="00890E50"/>
    <w:rsid w:val="00896CAB"/>
    <w:rsid w:val="008B703C"/>
    <w:rsid w:val="008C1A27"/>
    <w:rsid w:val="008C7DBE"/>
    <w:rsid w:val="008D30FA"/>
    <w:rsid w:val="008E401F"/>
    <w:rsid w:val="008F76DA"/>
    <w:rsid w:val="0091743C"/>
    <w:rsid w:val="00994553"/>
    <w:rsid w:val="00994596"/>
    <w:rsid w:val="0099652F"/>
    <w:rsid w:val="009A4BF2"/>
    <w:rsid w:val="009B5F22"/>
    <w:rsid w:val="009C00C2"/>
    <w:rsid w:val="009C0665"/>
    <w:rsid w:val="009D356C"/>
    <w:rsid w:val="009D5211"/>
    <w:rsid w:val="009F0F22"/>
    <w:rsid w:val="00A00B39"/>
    <w:rsid w:val="00A31A15"/>
    <w:rsid w:val="00A35125"/>
    <w:rsid w:val="00A64451"/>
    <w:rsid w:val="00A7186D"/>
    <w:rsid w:val="00A81996"/>
    <w:rsid w:val="00A87E44"/>
    <w:rsid w:val="00A94192"/>
    <w:rsid w:val="00A95A1C"/>
    <w:rsid w:val="00A979F9"/>
    <w:rsid w:val="00AC4438"/>
    <w:rsid w:val="00AD32AC"/>
    <w:rsid w:val="00B16489"/>
    <w:rsid w:val="00B22E59"/>
    <w:rsid w:val="00B41E90"/>
    <w:rsid w:val="00B46E04"/>
    <w:rsid w:val="00B66FDA"/>
    <w:rsid w:val="00B7003A"/>
    <w:rsid w:val="00B76644"/>
    <w:rsid w:val="00BA058E"/>
    <w:rsid w:val="00BA5DAE"/>
    <w:rsid w:val="00BD04C7"/>
    <w:rsid w:val="00BD31FE"/>
    <w:rsid w:val="00BD3436"/>
    <w:rsid w:val="00BE2B40"/>
    <w:rsid w:val="00BE5C13"/>
    <w:rsid w:val="00BE7BE8"/>
    <w:rsid w:val="00BF04DA"/>
    <w:rsid w:val="00BF67A6"/>
    <w:rsid w:val="00C115D4"/>
    <w:rsid w:val="00C1297A"/>
    <w:rsid w:val="00C12EC8"/>
    <w:rsid w:val="00C17AD7"/>
    <w:rsid w:val="00C20E75"/>
    <w:rsid w:val="00C30601"/>
    <w:rsid w:val="00C32C9B"/>
    <w:rsid w:val="00C34D18"/>
    <w:rsid w:val="00C360B7"/>
    <w:rsid w:val="00C50D05"/>
    <w:rsid w:val="00C549A9"/>
    <w:rsid w:val="00C6509C"/>
    <w:rsid w:val="00C740A2"/>
    <w:rsid w:val="00C92982"/>
    <w:rsid w:val="00C96A62"/>
    <w:rsid w:val="00CB41B1"/>
    <w:rsid w:val="00CC27C3"/>
    <w:rsid w:val="00CF144C"/>
    <w:rsid w:val="00D0359B"/>
    <w:rsid w:val="00D05B3E"/>
    <w:rsid w:val="00D3611D"/>
    <w:rsid w:val="00D404F3"/>
    <w:rsid w:val="00D43ECD"/>
    <w:rsid w:val="00D4708B"/>
    <w:rsid w:val="00D60713"/>
    <w:rsid w:val="00D63866"/>
    <w:rsid w:val="00D77199"/>
    <w:rsid w:val="00DA0B71"/>
    <w:rsid w:val="00DA26AF"/>
    <w:rsid w:val="00DD3C3D"/>
    <w:rsid w:val="00DE61CD"/>
    <w:rsid w:val="00DF5F13"/>
    <w:rsid w:val="00E15B6C"/>
    <w:rsid w:val="00E15DA2"/>
    <w:rsid w:val="00E20997"/>
    <w:rsid w:val="00E81164"/>
    <w:rsid w:val="00E830D3"/>
    <w:rsid w:val="00E91090"/>
    <w:rsid w:val="00E92BAF"/>
    <w:rsid w:val="00E93732"/>
    <w:rsid w:val="00E97671"/>
    <w:rsid w:val="00EC5A91"/>
    <w:rsid w:val="00EE69F7"/>
    <w:rsid w:val="00EF1B10"/>
    <w:rsid w:val="00F01558"/>
    <w:rsid w:val="00F02D9D"/>
    <w:rsid w:val="00F15DD5"/>
    <w:rsid w:val="00F3493A"/>
    <w:rsid w:val="00F55415"/>
    <w:rsid w:val="00F7246B"/>
    <w:rsid w:val="00F93EE5"/>
    <w:rsid w:val="00F94C31"/>
    <w:rsid w:val="00F95D44"/>
    <w:rsid w:val="00FA7CC5"/>
    <w:rsid w:val="00FC5307"/>
    <w:rsid w:val="00FF113E"/>
    <w:rsid w:val="00FF6A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5FE"/>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321FF"/>
    <w:rPr>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22E59"/>
    <w:rPr>
      <w:sz w:val="18"/>
      <w:szCs w:val="18"/>
    </w:rPr>
  </w:style>
  <w:style w:type="character" w:customStyle="1" w:styleId="TextodegloboCar">
    <w:name w:val="Texto de globo Car"/>
    <w:basedOn w:val="Fuentedeprrafopredeter"/>
    <w:link w:val="Textodeglobo"/>
    <w:uiPriority w:val="99"/>
    <w:semiHidden/>
    <w:rsid w:val="00B22E59"/>
    <w:rPr>
      <w:rFonts w:ascii="Times New Roman" w:hAnsi="Times New Roman" w:cs="Times New Roman"/>
      <w:sz w:val="18"/>
      <w:szCs w:val="18"/>
      <w:lang w:val="es-ES_tradnl"/>
    </w:rPr>
  </w:style>
  <w:style w:type="paragraph" w:styleId="Revisin">
    <w:name w:val="Revision"/>
    <w:hidden/>
    <w:uiPriority w:val="99"/>
    <w:semiHidden/>
    <w:rsid w:val="00291B21"/>
    <w:rPr>
      <w:lang w:val="es-ES_tradnl"/>
    </w:rPr>
  </w:style>
  <w:style w:type="paragraph" w:styleId="NormalWeb">
    <w:name w:val="Normal (Web)"/>
    <w:basedOn w:val="Normal"/>
    <w:uiPriority w:val="99"/>
    <w:unhideWhenUsed/>
    <w:rsid w:val="007E4C11"/>
    <w:pPr>
      <w:spacing w:before="100" w:beforeAutospacing="1" w:after="100" w:afterAutospacing="1"/>
    </w:pPr>
  </w:style>
  <w:style w:type="character" w:styleId="Hipervnculo">
    <w:name w:val="Hyperlink"/>
    <w:basedOn w:val="Fuentedeprrafopredeter"/>
    <w:uiPriority w:val="99"/>
    <w:unhideWhenUsed/>
    <w:rsid w:val="002351B4"/>
    <w:rPr>
      <w:color w:val="0563C1" w:themeColor="hyperlink"/>
      <w:u w:val="single"/>
    </w:rPr>
  </w:style>
  <w:style w:type="character" w:customStyle="1" w:styleId="UnresolvedMention">
    <w:name w:val="Unresolved Mention"/>
    <w:basedOn w:val="Fuentedeprrafopredeter"/>
    <w:uiPriority w:val="99"/>
    <w:semiHidden/>
    <w:unhideWhenUsed/>
    <w:rsid w:val="002351B4"/>
    <w:rPr>
      <w:color w:val="605E5C"/>
      <w:shd w:val="clear" w:color="auto" w:fill="E1DFDD"/>
    </w:rPr>
  </w:style>
  <w:style w:type="paragraph" w:styleId="Encabezado">
    <w:name w:val="header"/>
    <w:basedOn w:val="Normal"/>
    <w:link w:val="EncabezadoCar"/>
    <w:uiPriority w:val="99"/>
    <w:unhideWhenUsed/>
    <w:rsid w:val="002351B4"/>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2351B4"/>
    <w:rPr>
      <w:lang w:val="es-ES_tradnl"/>
    </w:rPr>
  </w:style>
  <w:style w:type="character" w:styleId="Nmerodepgina">
    <w:name w:val="page number"/>
    <w:basedOn w:val="Fuentedeprrafopredeter"/>
    <w:uiPriority w:val="99"/>
    <w:semiHidden/>
    <w:unhideWhenUsed/>
    <w:rsid w:val="002351B4"/>
  </w:style>
  <w:style w:type="character" w:styleId="Hipervnculovisitado">
    <w:name w:val="FollowedHyperlink"/>
    <w:basedOn w:val="Fuentedeprrafopredeter"/>
    <w:uiPriority w:val="99"/>
    <w:semiHidden/>
    <w:unhideWhenUsed/>
    <w:rsid w:val="00E91090"/>
    <w:rPr>
      <w:color w:val="954F72" w:themeColor="followedHyperlink"/>
      <w:u w:val="single"/>
    </w:rPr>
  </w:style>
  <w:style w:type="paragraph" w:styleId="Prrafodelista">
    <w:name w:val="List Paragraph"/>
    <w:basedOn w:val="Normal"/>
    <w:uiPriority w:val="34"/>
    <w:qFormat/>
    <w:rsid w:val="0054063E"/>
    <w:pPr>
      <w:ind w:left="720"/>
      <w:contextualSpacing/>
    </w:pPr>
    <w:rPr>
      <w:rFonts w:asciiTheme="minorHAnsi" w:eastAsiaTheme="minorHAnsi" w:hAnsiTheme="minorHAnsi" w:cstheme="minorBidi"/>
      <w:lang w:val="es-ES_tradnl" w:eastAsia="en-US"/>
    </w:rPr>
  </w:style>
  <w:style w:type="character" w:styleId="Refdecomentario">
    <w:name w:val="annotation reference"/>
    <w:basedOn w:val="Fuentedeprrafopredeter"/>
    <w:uiPriority w:val="99"/>
    <w:semiHidden/>
    <w:unhideWhenUsed/>
    <w:rsid w:val="00C1297A"/>
    <w:rPr>
      <w:sz w:val="16"/>
      <w:szCs w:val="16"/>
    </w:rPr>
  </w:style>
  <w:style w:type="paragraph" w:styleId="Textocomentario">
    <w:name w:val="annotation text"/>
    <w:basedOn w:val="Normal"/>
    <w:link w:val="TextocomentarioCar"/>
    <w:uiPriority w:val="99"/>
    <w:semiHidden/>
    <w:unhideWhenUsed/>
    <w:rsid w:val="00C1297A"/>
    <w:rPr>
      <w:sz w:val="20"/>
      <w:szCs w:val="20"/>
    </w:rPr>
  </w:style>
  <w:style w:type="character" w:customStyle="1" w:styleId="TextocomentarioCar">
    <w:name w:val="Texto comentario Car"/>
    <w:basedOn w:val="Fuentedeprrafopredeter"/>
    <w:link w:val="Textocomentario"/>
    <w:uiPriority w:val="99"/>
    <w:semiHidden/>
    <w:rsid w:val="00C1297A"/>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1297A"/>
    <w:rPr>
      <w:b/>
      <w:bCs/>
    </w:rPr>
  </w:style>
  <w:style w:type="character" w:customStyle="1" w:styleId="AsuntodelcomentarioCar">
    <w:name w:val="Asunto del comentario Car"/>
    <w:basedOn w:val="TextocomentarioCar"/>
    <w:link w:val="Asuntodelcomentario"/>
    <w:uiPriority w:val="99"/>
    <w:semiHidden/>
    <w:rsid w:val="00C1297A"/>
    <w:rPr>
      <w:rFonts w:ascii="Times New Roman" w:eastAsia="Times New Roman" w:hAnsi="Times New Roman" w:cs="Times New Roman"/>
      <w:b/>
      <w:bCs/>
      <w:sz w:val="20"/>
      <w:szCs w:val="20"/>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5FE"/>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321FF"/>
    <w:rPr>
      <w:lang w:val="es-ES_tradn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22E59"/>
    <w:rPr>
      <w:sz w:val="18"/>
      <w:szCs w:val="18"/>
    </w:rPr>
  </w:style>
  <w:style w:type="character" w:customStyle="1" w:styleId="TextodegloboCar">
    <w:name w:val="Texto de globo Car"/>
    <w:basedOn w:val="Fuentedeprrafopredeter"/>
    <w:link w:val="Textodeglobo"/>
    <w:uiPriority w:val="99"/>
    <w:semiHidden/>
    <w:rsid w:val="00B22E59"/>
    <w:rPr>
      <w:rFonts w:ascii="Times New Roman" w:hAnsi="Times New Roman" w:cs="Times New Roman"/>
      <w:sz w:val="18"/>
      <w:szCs w:val="18"/>
      <w:lang w:val="es-ES_tradnl"/>
    </w:rPr>
  </w:style>
  <w:style w:type="paragraph" w:styleId="Revisin">
    <w:name w:val="Revision"/>
    <w:hidden/>
    <w:uiPriority w:val="99"/>
    <w:semiHidden/>
    <w:rsid w:val="00291B21"/>
    <w:rPr>
      <w:lang w:val="es-ES_tradnl"/>
    </w:rPr>
  </w:style>
  <w:style w:type="paragraph" w:styleId="NormalWeb">
    <w:name w:val="Normal (Web)"/>
    <w:basedOn w:val="Normal"/>
    <w:uiPriority w:val="99"/>
    <w:unhideWhenUsed/>
    <w:rsid w:val="007E4C11"/>
    <w:pPr>
      <w:spacing w:before="100" w:beforeAutospacing="1" w:after="100" w:afterAutospacing="1"/>
    </w:pPr>
  </w:style>
  <w:style w:type="character" w:styleId="Hipervnculo">
    <w:name w:val="Hyperlink"/>
    <w:basedOn w:val="Fuentedeprrafopredeter"/>
    <w:uiPriority w:val="99"/>
    <w:unhideWhenUsed/>
    <w:rsid w:val="002351B4"/>
    <w:rPr>
      <w:color w:val="0563C1" w:themeColor="hyperlink"/>
      <w:u w:val="single"/>
    </w:rPr>
  </w:style>
  <w:style w:type="character" w:customStyle="1" w:styleId="UnresolvedMention">
    <w:name w:val="Unresolved Mention"/>
    <w:basedOn w:val="Fuentedeprrafopredeter"/>
    <w:uiPriority w:val="99"/>
    <w:semiHidden/>
    <w:unhideWhenUsed/>
    <w:rsid w:val="002351B4"/>
    <w:rPr>
      <w:color w:val="605E5C"/>
      <w:shd w:val="clear" w:color="auto" w:fill="E1DFDD"/>
    </w:rPr>
  </w:style>
  <w:style w:type="paragraph" w:styleId="Encabezado">
    <w:name w:val="header"/>
    <w:basedOn w:val="Normal"/>
    <w:link w:val="EncabezadoCar"/>
    <w:uiPriority w:val="99"/>
    <w:unhideWhenUsed/>
    <w:rsid w:val="002351B4"/>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2351B4"/>
    <w:rPr>
      <w:lang w:val="es-ES_tradnl"/>
    </w:rPr>
  </w:style>
  <w:style w:type="character" w:styleId="Nmerodepgina">
    <w:name w:val="page number"/>
    <w:basedOn w:val="Fuentedeprrafopredeter"/>
    <w:uiPriority w:val="99"/>
    <w:semiHidden/>
    <w:unhideWhenUsed/>
    <w:rsid w:val="002351B4"/>
  </w:style>
  <w:style w:type="character" w:styleId="Hipervnculovisitado">
    <w:name w:val="FollowedHyperlink"/>
    <w:basedOn w:val="Fuentedeprrafopredeter"/>
    <w:uiPriority w:val="99"/>
    <w:semiHidden/>
    <w:unhideWhenUsed/>
    <w:rsid w:val="00E91090"/>
    <w:rPr>
      <w:color w:val="954F72" w:themeColor="followedHyperlink"/>
      <w:u w:val="single"/>
    </w:rPr>
  </w:style>
  <w:style w:type="paragraph" w:styleId="Prrafodelista">
    <w:name w:val="List Paragraph"/>
    <w:basedOn w:val="Normal"/>
    <w:uiPriority w:val="34"/>
    <w:qFormat/>
    <w:rsid w:val="0054063E"/>
    <w:pPr>
      <w:ind w:left="720"/>
      <w:contextualSpacing/>
    </w:pPr>
    <w:rPr>
      <w:rFonts w:asciiTheme="minorHAnsi" w:eastAsiaTheme="minorHAnsi" w:hAnsiTheme="minorHAnsi" w:cstheme="minorBidi"/>
      <w:lang w:val="es-ES_tradnl" w:eastAsia="en-US"/>
    </w:rPr>
  </w:style>
  <w:style w:type="character" w:styleId="Refdecomentario">
    <w:name w:val="annotation reference"/>
    <w:basedOn w:val="Fuentedeprrafopredeter"/>
    <w:uiPriority w:val="99"/>
    <w:semiHidden/>
    <w:unhideWhenUsed/>
    <w:rsid w:val="00C1297A"/>
    <w:rPr>
      <w:sz w:val="16"/>
      <w:szCs w:val="16"/>
    </w:rPr>
  </w:style>
  <w:style w:type="paragraph" w:styleId="Textocomentario">
    <w:name w:val="annotation text"/>
    <w:basedOn w:val="Normal"/>
    <w:link w:val="TextocomentarioCar"/>
    <w:uiPriority w:val="99"/>
    <w:semiHidden/>
    <w:unhideWhenUsed/>
    <w:rsid w:val="00C1297A"/>
    <w:rPr>
      <w:sz w:val="20"/>
      <w:szCs w:val="20"/>
    </w:rPr>
  </w:style>
  <w:style w:type="character" w:customStyle="1" w:styleId="TextocomentarioCar">
    <w:name w:val="Texto comentario Car"/>
    <w:basedOn w:val="Fuentedeprrafopredeter"/>
    <w:link w:val="Textocomentario"/>
    <w:uiPriority w:val="99"/>
    <w:semiHidden/>
    <w:rsid w:val="00C1297A"/>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1297A"/>
    <w:rPr>
      <w:b/>
      <w:bCs/>
    </w:rPr>
  </w:style>
  <w:style w:type="character" w:customStyle="1" w:styleId="AsuntodelcomentarioCar">
    <w:name w:val="Asunto del comentario Car"/>
    <w:basedOn w:val="TextocomentarioCar"/>
    <w:link w:val="Asuntodelcomentario"/>
    <w:uiPriority w:val="99"/>
    <w:semiHidden/>
    <w:rsid w:val="00C1297A"/>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316">
      <w:bodyDiv w:val="1"/>
      <w:marLeft w:val="0"/>
      <w:marRight w:val="0"/>
      <w:marTop w:val="0"/>
      <w:marBottom w:val="0"/>
      <w:divBdr>
        <w:top w:val="none" w:sz="0" w:space="0" w:color="auto"/>
        <w:left w:val="none" w:sz="0" w:space="0" w:color="auto"/>
        <w:bottom w:val="none" w:sz="0" w:space="0" w:color="auto"/>
        <w:right w:val="none" w:sz="0" w:space="0" w:color="auto"/>
      </w:divBdr>
    </w:div>
    <w:div w:id="122576637">
      <w:bodyDiv w:val="1"/>
      <w:marLeft w:val="0"/>
      <w:marRight w:val="0"/>
      <w:marTop w:val="0"/>
      <w:marBottom w:val="0"/>
      <w:divBdr>
        <w:top w:val="none" w:sz="0" w:space="0" w:color="auto"/>
        <w:left w:val="none" w:sz="0" w:space="0" w:color="auto"/>
        <w:bottom w:val="none" w:sz="0" w:space="0" w:color="auto"/>
        <w:right w:val="none" w:sz="0" w:space="0" w:color="auto"/>
      </w:divBdr>
      <w:divsChild>
        <w:div w:id="1063060410">
          <w:marLeft w:val="0"/>
          <w:marRight w:val="0"/>
          <w:marTop w:val="0"/>
          <w:marBottom w:val="0"/>
          <w:divBdr>
            <w:top w:val="none" w:sz="0" w:space="0" w:color="auto"/>
            <w:left w:val="none" w:sz="0" w:space="0" w:color="auto"/>
            <w:bottom w:val="none" w:sz="0" w:space="0" w:color="auto"/>
            <w:right w:val="none" w:sz="0" w:space="0" w:color="auto"/>
          </w:divBdr>
          <w:divsChild>
            <w:div w:id="2142070643">
              <w:marLeft w:val="0"/>
              <w:marRight w:val="0"/>
              <w:marTop w:val="0"/>
              <w:marBottom w:val="0"/>
              <w:divBdr>
                <w:top w:val="none" w:sz="0" w:space="0" w:color="auto"/>
                <w:left w:val="none" w:sz="0" w:space="0" w:color="auto"/>
                <w:bottom w:val="none" w:sz="0" w:space="0" w:color="auto"/>
                <w:right w:val="none" w:sz="0" w:space="0" w:color="auto"/>
              </w:divBdr>
              <w:divsChild>
                <w:div w:id="228342935">
                  <w:marLeft w:val="0"/>
                  <w:marRight w:val="0"/>
                  <w:marTop w:val="0"/>
                  <w:marBottom w:val="0"/>
                  <w:divBdr>
                    <w:top w:val="none" w:sz="0" w:space="0" w:color="auto"/>
                    <w:left w:val="none" w:sz="0" w:space="0" w:color="auto"/>
                    <w:bottom w:val="none" w:sz="0" w:space="0" w:color="auto"/>
                    <w:right w:val="none" w:sz="0" w:space="0" w:color="auto"/>
                  </w:divBdr>
                  <w:divsChild>
                    <w:div w:id="1336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9021">
      <w:bodyDiv w:val="1"/>
      <w:marLeft w:val="0"/>
      <w:marRight w:val="0"/>
      <w:marTop w:val="0"/>
      <w:marBottom w:val="0"/>
      <w:divBdr>
        <w:top w:val="none" w:sz="0" w:space="0" w:color="auto"/>
        <w:left w:val="none" w:sz="0" w:space="0" w:color="auto"/>
        <w:bottom w:val="none" w:sz="0" w:space="0" w:color="auto"/>
        <w:right w:val="none" w:sz="0" w:space="0" w:color="auto"/>
      </w:divBdr>
      <w:divsChild>
        <w:div w:id="1893232264">
          <w:marLeft w:val="0"/>
          <w:marRight w:val="0"/>
          <w:marTop w:val="0"/>
          <w:marBottom w:val="0"/>
          <w:divBdr>
            <w:top w:val="none" w:sz="0" w:space="0" w:color="auto"/>
            <w:left w:val="none" w:sz="0" w:space="0" w:color="auto"/>
            <w:bottom w:val="none" w:sz="0" w:space="0" w:color="auto"/>
            <w:right w:val="none" w:sz="0" w:space="0" w:color="auto"/>
          </w:divBdr>
          <w:divsChild>
            <w:div w:id="65998455">
              <w:marLeft w:val="0"/>
              <w:marRight w:val="0"/>
              <w:marTop w:val="0"/>
              <w:marBottom w:val="0"/>
              <w:divBdr>
                <w:top w:val="none" w:sz="0" w:space="0" w:color="auto"/>
                <w:left w:val="none" w:sz="0" w:space="0" w:color="auto"/>
                <w:bottom w:val="none" w:sz="0" w:space="0" w:color="auto"/>
                <w:right w:val="none" w:sz="0" w:space="0" w:color="auto"/>
              </w:divBdr>
              <w:divsChild>
                <w:div w:id="667443674">
                  <w:marLeft w:val="0"/>
                  <w:marRight w:val="0"/>
                  <w:marTop w:val="0"/>
                  <w:marBottom w:val="0"/>
                  <w:divBdr>
                    <w:top w:val="none" w:sz="0" w:space="0" w:color="auto"/>
                    <w:left w:val="none" w:sz="0" w:space="0" w:color="auto"/>
                    <w:bottom w:val="none" w:sz="0" w:space="0" w:color="auto"/>
                    <w:right w:val="none" w:sz="0" w:space="0" w:color="auto"/>
                  </w:divBdr>
                  <w:divsChild>
                    <w:div w:id="15465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05623">
      <w:bodyDiv w:val="1"/>
      <w:marLeft w:val="0"/>
      <w:marRight w:val="0"/>
      <w:marTop w:val="0"/>
      <w:marBottom w:val="0"/>
      <w:divBdr>
        <w:top w:val="none" w:sz="0" w:space="0" w:color="auto"/>
        <w:left w:val="none" w:sz="0" w:space="0" w:color="auto"/>
        <w:bottom w:val="none" w:sz="0" w:space="0" w:color="auto"/>
        <w:right w:val="none" w:sz="0" w:space="0" w:color="auto"/>
      </w:divBdr>
    </w:div>
    <w:div w:id="453864672">
      <w:bodyDiv w:val="1"/>
      <w:marLeft w:val="0"/>
      <w:marRight w:val="0"/>
      <w:marTop w:val="0"/>
      <w:marBottom w:val="0"/>
      <w:divBdr>
        <w:top w:val="none" w:sz="0" w:space="0" w:color="auto"/>
        <w:left w:val="none" w:sz="0" w:space="0" w:color="auto"/>
        <w:bottom w:val="none" w:sz="0" w:space="0" w:color="auto"/>
        <w:right w:val="none" w:sz="0" w:space="0" w:color="auto"/>
      </w:divBdr>
    </w:div>
    <w:div w:id="688993839">
      <w:bodyDiv w:val="1"/>
      <w:marLeft w:val="0"/>
      <w:marRight w:val="0"/>
      <w:marTop w:val="0"/>
      <w:marBottom w:val="0"/>
      <w:divBdr>
        <w:top w:val="none" w:sz="0" w:space="0" w:color="auto"/>
        <w:left w:val="none" w:sz="0" w:space="0" w:color="auto"/>
        <w:bottom w:val="none" w:sz="0" w:space="0" w:color="auto"/>
        <w:right w:val="none" w:sz="0" w:space="0" w:color="auto"/>
      </w:divBdr>
    </w:div>
    <w:div w:id="737941815">
      <w:bodyDiv w:val="1"/>
      <w:marLeft w:val="0"/>
      <w:marRight w:val="0"/>
      <w:marTop w:val="0"/>
      <w:marBottom w:val="0"/>
      <w:divBdr>
        <w:top w:val="none" w:sz="0" w:space="0" w:color="auto"/>
        <w:left w:val="none" w:sz="0" w:space="0" w:color="auto"/>
        <w:bottom w:val="none" w:sz="0" w:space="0" w:color="auto"/>
        <w:right w:val="none" w:sz="0" w:space="0" w:color="auto"/>
      </w:divBdr>
    </w:div>
    <w:div w:id="863784775">
      <w:bodyDiv w:val="1"/>
      <w:marLeft w:val="0"/>
      <w:marRight w:val="0"/>
      <w:marTop w:val="0"/>
      <w:marBottom w:val="0"/>
      <w:divBdr>
        <w:top w:val="none" w:sz="0" w:space="0" w:color="auto"/>
        <w:left w:val="none" w:sz="0" w:space="0" w:color="auto"/>
        <w:bottom w:val="none" w:sz="0" w:space="0" w:color="auto"/>
        <w:right w:val="none" w:sz="0" w:space="0" w:color="auto"/>
      </w:divBdr>
    </w:div>
    <w:div w:id="872228509">
      <w:bodyDiv w:val="1"/>
      <w:marLeft w:val="0"/>
      <w:marRight w:val="0"/>
      <w:marTop w:val="0"/>
      <w:marBottom w:val="0"/>
      <w:divBdr>
        <w:top w:val="none" w:sz="0" w:space="0" w:color="auto"/>
        <w:left w:val="none" w:sz="0" w:space="0" w:color="auto"/>
        <w:bottom w:val="none" w:sz="0" w:space="0" w:color="auto"/>
        <w:right w:val="none" w:sz="0" w:space="0" w:color="auto"/>
      </w:divBdr>
    </w:div>
    <w:div w:id="974916824">
      <w:bodyDiv w:val="1"/>
      <w:marLeft w:val="0"/>
      <w:marRight w:val="0"/>
      <w:marTop w:val="0"/>
      <w:marBottom w:val="0"/>
      <w:divBdr>
        <w:top w:val="none" w:sz="0" w:space="0" w:color="auto"/>
        <w:left w:val="none" w:sz="0" w:space="0" w:color="auto"/>
        <w:bottom w:val="none" w:sz="0" w:space="0" w:color="auto"/>
        <w:right w:val="none" w:sz="0" w:space="0" w:color="auto"/>
      </w:divBdr>
    </w:div>
    <w:div w:id="1050879330">
      <w:bodyDiv w:val="1"/>
      <w:marLeft w:val="0"/>
      <w:marRight w:val="0"/>
      <w:marTop w:val="0"/>
      <w:marBottom w:val="0"/>
      <w:divBdr>
        <w:top w:val="none" w:sz="0" w:space="0" w:color="auto"/>
        <w:left w:val="none" w:sz="0" w:space="0" w:color="auto"/>
        <w:bottom w:val="none" w:sz="0" w:space="0" w:color="auto"/>
        <w:right w:val="none" w:sz="0" w:space="0" w:color="auto"/>
      </w:divBdr>
    </w:div>
    <w:div w:id="1211646664">
      <w:bodyDiv w:val="1"/>
      <w:marLeft w:val="0"/>
      <w:marRight w:val="0"/>
      <w:marTop w:val="0"/>
      <w:marBottom w:val="0"/>
      <w:divBdr>
        <w:top w:val="none" w:sz="0" w:space="0" w:color="auto"/>
        <w:left w:val="none" w:sz="0" w:space="0" w:color="auto"/>
        <w:bottom w:val="none" w:sz="0" w:space="0" w:color="auto"/>
        <w:right w:val="none" w:sz="0" w:space="0" w:color="auto"/>
      </w:divBdr>
    </w:div>
    <w:div w:id="1224297092">
      <w:bodyDiv w:val="1"/>
      <w:marLeft w:val="0"/>
      <w:marRight w:val="0"/>
      <w:marTop w:val="0"/>
      <w:marBottom w:val="0"/>
      <w:divBdr>
        <w:top w:val="none" w:sz="0" w:space="0" w:color="auto"/>
        <w:left w:val="none" w:sz="0" w:space="0" w:color="auto"/>
        <w:bottom w:val="none" w:sz="0" w:space="0" w:color="auto"/>
        <w:right w:val="none" w:sz="0" w:space="0" w:color="auto"/>
      </w:divBdr>
    </w:div>
    <w:div w:id="1263952233">
      <w:bodyDiv w:val="1"/>
      <w:marLeft w:val="0"/>
      <w:marRight w:val="0"/>
      <w:marTop w:val="0"/>
      <w:marBottom w:val="0"/>
      <w:divBdr>
        <w:top w:val="none" w:sz="0" w:space="0" w:color="auto"/>
        <w:left w:val="none" w:sz="0" w:space="0" w:color="auto"/>
        <w:bottom w:val="none" w:sz="0" w:space="0" w:color="auto"/>
        <w:right w:val="none" w:sz="0" w:space="0" w:color="auto"/>
      </w:divBdr>
    </w:div>
    <w:div w:id="1287617140">
      <w:bodyDiv w:val="1"/>
      <w:marLeft w:val="0"/>
      <w:marRight w:val="0"/>
      <w:marTop w:val="0"/>
      <w:marBottom w:val="0"/>
      <w:divBdr>
        <w:top w:val="none" w:sz="0" w:space="0" w:color="auto"/>
        <w:left w:val="none" w:sz="0" w:space="0" w:color="auto"/>
        <w:bottom w:val="none" w:sz="0" w:space="0" w:color="auto"/>
        <w:right w:val="none" w:sz="0" w:space="0" w:color="auto"/>
      </w:divBdr>
    </w:div>
    <w:div w:id="1502236563">
      <w:bodyDiv w:val="1"/>
      <w:marLeft w:val="0"/>
      <w:marRight w:val="0"/>
      <w:marTop w:val="0"/>
      <w:marBottom w:val="0"/>
      <w:divBdr>
        <w:top w:val="none" w:sz="0" w:space="0" w:color="auto"/>
        <w:left w:val="none" w:sz="0" w:space="0" w:color="auto"/>
        <w:bottom w:val="none" w:sz="0" w:space="0" w:color="auto"/>
        <w:right w:val="none" w:sz="0" w:space="0" w:color="auto"/>
      </w:divBdr>
    </w:div>
    <w:div w:id="1566644481">
      <w:bodyDiv w:val="1"/>
      <w:marLeft w:val="0"/>
      <w:marRight w:val="0"/>
      <w:marTop w:val="0"/>
      <w:marBottom w:val="0"/>
      <w:divBdr>
        <w:top w:val="none" w:sz="0" w:space="0" w:color="auto"/>
        <w:left w:val="none" w:sz="0" w:space="0" w:color="auto"/>
        <w:bottom w:val="none" w:sz="0" w:space="0" w:color="auto"/>
        <w:right w:val="none" w:sz="0" w:space="0" w:color="auto"/>
      </w:divBdr>
    </w:div>
    <w:div w:id="1762872004">
      <w:bodyDiv w:val="1"/>
      <w:marLeft w:val="0"/>
      <w:marRight w:val="0"/>
      <w:marTop w:val="0"/>
      <w:marBottom w:val="0"/>
      <w:divBdr>
        <w:top w:val="none" w:sz="0" w:space="0" w:color="auto"/>
        <w:left w:val="none" w:sz="0" w:space="0" w:color="auto"/>
        <w:bottom w:val="none" w:sz="0" w:space="0" w:color="auto"/>
        <w:right w:val="none" w:sz="0" w:space="0" w:color="auto"/>
      </w:divBdr>
    </w:div>
    <w:div w:id="1807509718">
      <w:bodyDiv w:val="1"/>
      <w:marLeft w:val="0"/>
      <w:marRight w:val="0"/>
      <w:marTop w:val="0"/>
      <w:marBottom w:val="0"/>
      <w:divBdr>
        <w:top w:val="none" w:sz="0" w:space="0" w:color="auto"/>
        <w:left w:val="none" w:sz="0" w:space="0" w:color="auto"/>
        <w:bottom w:val="none" w:sz="0" w:space="0" w:color="auto"/>
        <w:right w:val="none" w:sz="0" w:space="0" w:color="auto"/>
      </w:divBdr>
    </w:div>
    <w:div w:id="1839223726">
      <w:bodyDiv w:val="1"/>
      <w:marLeft w:val="0"/>
      <w:marRight w:val="0"/>
      <w:marTop w:val="0"/>
      <w:marBottom w:val="0"/>
      <w:divBdr>
        <w:top w:val="none" w:sz="0" w:space="0" w:color="auto"/>
        <w:left w:val="none" w:sz="0" w:space="0" w:color="auto"/>
        <w:bottom w:val="none" w:sz="0" w:space="0" w:color="auto"/>
        <w:right w:val="none" w:sz="0" w:space="0" w:color="auto"/>
      </w:divBdr>
    </w:div>
    <w:div w:id="1854683246">
      <w:bodyDiv w:val="1"/>
      <w:marLeft w:val="0"/>
      <w:marRight w:val="0"/>
      <w:marTop w:val="0"/>
      <w:marBottom w:val="0"/>
      <w:divBdr>
        <w:top w:val="none" w:sz="0" w:space="0" w:color="auto"/>
        <w:left w:val="none" w:sz="0" w:space="0" w:color="auto"/>
        <w:bottom w:val="none" w:sz="0" w:space="0" w:color="auto"/>
        <w:right w:val="none" w:sz="0" w:space="0" w:color="auto"/>
      </w:divBdr>
    </w:div>
    <w:div w:id="1919709166">
      <w:bodyDiv w:val="1"/>
      <w:marLeft w:val="0"/>
      <w:marRight w:val="0"/>
      <w:marTop w:val="0"/>
      <w:marBottom w:val="0"/>
      <w:divBdr>
        <w:top w:val="none" w:sz="0" w:space="0" w:color="auto"/>
        <w:left w:val="none" w:sz="0" w:space="0" w:color="auto"/>
        <w:bottom w:val="none" w:sz="0" w:space="0" w:color="auto"/>
        <w:right w:val="none" w:sz="0" w:space="0" w:color="auto"/>
      </w:divBdr>
    </w:div>
    <w:div w:id="1972006448">
      <w:bodyDiv w:val="1"/>
      <w:marLeft w:val="0"/>
      <w:marRight w:val="0"/>
      <w:marTop w:val="0"/>
      <w:marBottom w:val="0"/>
      <w:divBdr>
        <w:top w:val="none" w:sz="0" w:space="0" w:color="auto"/>
        <w:left w:val="none" w:sz="0" w:space="0" w:color="auto"/>
        <w:bottom w:val="none" w:sz="0" w:space="0" w:color="auto"/>
        <w:right w:val="none" w:sz="0" w:space="0" w:color="auto"/>
      </w:divBdr>
    </w:div>
    <w:div w:id="2042510676">
      <w:bodyDiv w:val="1"/>
      <w:marLeft w:val="0"/>
      <w:marRight w:val="0"/>
      <w:marTop w:val="0"/>
      <w:marBottom w:val="0"/>
      <w:divBdr>
        <w:top w:val="none" w:sz="0" w:space="0" w:color="auto"/>
        <w:left w:val="none" w:sz="0" w:space="0" w:color="auto"/>
        <w:bottom w:val="none" w:sz="0" w:space="0" w:color="auto"/>
        <w:right w:val="none" w:sz="0" w:space="0" w:color="auto"/>
      </w:divBdr>
    </w:div>
    <w:div w:id="2046787032">
      <w:bodyDiv w:val="1"/>
      <w:marLeft w:val="0"/>
      <w:marRight w:val="0"/>
      <w:marTop w:val="0"/>
      <w:marBottom w:val="0"/>
      <w:divBdr>
        <w:top w:val="none" w:sz="0" w:space="0" w:color="auto"/>
        <w:left w:val="none" w:sz="0" w:space="0" w:color="auto"/>
        <w:bottom w:val="none" w:sz="0" w:space="0" w:color="auto"/>
        <w:right w:val="none" w:sz="0" w:space="0" w:color="auto"/>
      </w:divBdr>
    </w:div>
    <w:div w:id="2076733116">
      <w:bodyDiv w:val="1"/>
      <w:marLeft w:val="0"/>
      <w:marRight w:val="0"/>
      <w:marTop w:val="0"/>
      <w:marBottom w:val="0"/>
      <w:divBdr>
        <w:top w:val="none" w:sz="0" w:space="0" w:color="auto"/>
        <w:left w:val="none" w:sz="0" w:space="0" w:color="auto"/>
        <w:bottom w:val="none" w:sz="0" w:space="0" w:color="auto"/>
        <w:right w:val="none" w:sz="0" w:space="0" w:color="auto"/>
      </w:divBdr>
    </w:div>
    <w:div w:id="21003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4184</Words>
  <Characters>23018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Majluf</dc:creator>
  <cp:lastModifiedBy>usuario</cp:lastModifiedBy>
  <cp:revision>2</cp:revision>
  <dcterms:created xsi:type="dcterms:W3CDTF">2021-03-03T15:30:00Z</dcterms:created>
  <dcterms:modified xsi:type="dcterms:W3CDTF">2021-03-03T15:30:00Z</dcterms:modified>
</cp:coreProperties>
</file>