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6214E" w14:textId="77777777" w:rsidR="00BE00AE" w:rsidRDefault="00F43155">
      <w:pPr>
        <w:shd w:val="clear" w:color="auto" w:fill="FFFFFF"/>
        <w:spacing w:after="200" w:line="360" w:lineRule="auto"/>
        <w:rPr>
          <w:b/>
          <w:i/>
          <w:sz w:val="24"/>
          <w:szCs w:val="24"/>
        </w:rPr>
      </w:pPr>
      <w:bookmarkStart w:id="0" w:name="_GoBack"/>
      <w:bookmarkEnd w:id="0"/>
      <w:r>
        <w:rPr>
          <w:b/>
          <w:i/>
          <w:sz w:val="24"/>
          <w:szCs w:val="24"/>
        </w:rPr>
        <w:t xml:space="preserve">Trombolisis endovenosa con tenecteplase </w:t>
      </w:r>
      <w:r>
        <w:rPr>
          <w:b/>
          <w:sz w:val="24"/>
          <w:szCs w:val="24"/>
        </w:rPr>
        <w:t>en ventana extendida tras  selección por TC y Angio TC</w:t>
      </w:r>
      <w:r>
        <w:rPr>
          <w:b/>
          <w:i/>
          <w:sz w:val="24"/>
          <w:szCs w:val="24"/>
        </w:rPr>
        <w:t>:  Reporte de un caso</w:t>
      </w:r>
    </w:p>
    <w:p w14:paraId="1AA87605" w14:textId="77777777" w:rsidR="00BE00AE" w:rsidRDefault="00F43155">
      <w:pPr>
        <w:shd w:val="clear" w:color="auto" w:fill="FFFFFF"/>
        <w:spacing w:after="200" w:line="360" w:lineRule="auto"/>
        <w:rPr>
          <w:b/>
          <w:i/>
          <w:sz w:val="24"/>
          <w:szCs w:val="24"/>
          <w:vertAlign w:val="superscript"/>
        </w:rPr>
      </w:pPr>
      <w:r>
        <w:rPr>
          <w:b/>
          <w:i/>
          <w:sz w:val="24"/>
          <w:szCs w:val="24"/>
        </w:rPr>
        <w:t>Claudio Montecinos</w:t>
      </w:r>
      <w:r>
        <w:rPr>
          <w:b/>
          <w:i/>
          <w:sz w:val="24"/>
          <w:szCs w:val="24"/>
          <w:vertAlign w:val="superscript"/>
        </w:rPr>
        <w:t xml:space="preserve">1 </w:t>
      </w:r>
      <w:r>
        <w:rPr>
          <w:b/>
          <w:i/>
          <w:sz w:val="24"/>
          <w:szCs w:val="24"/>
        </w:rPr>
        <w:t>, Maria Jose Angel</w:t>
      </w:r>
      <w:r>
        <w:rPr>
          <w:b/>
          <w:i/>
          <w:sz w:val="24"/>
          <w:szCs w:val="24"/>
          <w:vertAlign w:val="superscript"/>
        </w:rPr>
        <w:t>1</w:t>
      </w:r>
      <w:r>
        <w:rPr>
          <w:b/>
          <w:i/>
          <w:sz w:val="24"/>
          <w:szCs w:val="24"/>
        </w:rPr>
        <w:t>, Víctor Navia</w:t>
      </w:r>
      <w:r>
        <w:rPr>
          <w:b/>
          <w:i/>
          <w:sz w:val="24"/>
          <w:szCs w:val="24"/>
          <w:vertAlign w:val="superscript"/>
        </w:rPr>
        <w:t>2</w:t>
      </w:r>
    </w:p>
    <w:p w14:paraId="4BC458A2" w14:textId="77777777" w:rsidR="00BE00AE" w:rsidRDefault="00F43155">
      <w:pPr>
        <w:shd w:val="clear" w:color="auto" w:fill="FFFFFF"/>
        <w:spacing w:after="200" w:line="360" w:lineRule="auto"/>
        <w:rPr>
          <w:b/>
          <w:i/>
          <w:sz w:val="24"/>
          <w:szCs w:val="24"/>
          <w:highlight w:val="white"/>
        </w:rPr>
      </w:pPr>
      <w:r>
        <w:rPr>
          <w:b/>
          <w:i/>
          <w:sz w:val="24"/>
          <w:szCs w:val="24"/>
          <w:highlight w:val="white"/>
        </w:rPr>
        <w:t xml:space="preserve">1: Facultad de medicina Universidad de Santiago de Chile. </w:t>
      </w:r>
    </w:p>
    <w:p w14:paraId="46892F3E" w14:textId="77777777" w:rsidR="00BE00AE" w:rsidRDefault="00F43155">
      <w:pPr>
        <w:shd w:val="clear" w:color="auto" w:fill="FFFFFF"/>
        <w:spacing w:after="200" w:line="360" w:lineRule="auto"/>
        <w:rPr>
          <w:b/>
          <w:i/>
          <w:sz w:val="24"/>
          <w:szCs w:val="24"/>
          <w:highlight w:val="white"/>
        </w:rPr>
      </w:pPr>
      <w:r>
        <w:rPr>
          <w:b/>
          <w:i/>
          <w:sz w:val="24"/>
          <w:szCs w:val="24"/>
          <w:highlight w:val="white"/>
        </w:rPr>
        <w:t>2: Facultad de Medicina Clínica Alemana-Universidad del Desarrollo. Santiago, Chile</w:t>
      </w:r>
    </w:p>
    <w:p w14:paraId="17E6490C" w14:textId="77777777" w:rsidR="00BE00AE" w:rsidRDefault="00F43155">
      <w:pPr>
        <w:shd w:val="clear" w:color="auto" w:fill="FFFFFF"/>
        <w:spacing w:after="200" w:line="360" w:lineRule="auto"/>
        <w:rPr>
          <w:b/>
          <w:i/>
          <w:sz w:val="24"/>
          <w:szCs w:val="24"/>
          <w:highlight w:val="white"/>
        </w:rPr>
      </w:pPr>
      <w:r>
        <w:rPr>
          <w:b/>
          <w:i/>
          <w:sz w:val="24"/>
          <w:szCs w:val="24"/>
          <w:highlight w:val="white"/>
        </w:rPr>
        <w:t>Dirección para correspondencia</w:t>
      </w:r>
    </w:p>
    <w:p w14:paraId="788D1DEF" w14:textId="77777777" w:rsidR="00BE00AE" w:rsidRDefault="00F43155">
      <w:pPr>
        <w:spacing w:after="200" w:line="360" w:lineRule="auto"/>
        <w:rPr>
          <w:sz w:val="24"/>
          <w:szCs w:val="24"/>
          <w:highlight w:val="white"/>
        </w:rPr>
      </w:pPr>
      <w:r>
        <w:rPr>
          <w:i/>
          <w:sz w:val="24"/>
          <w:szCs w:val="24"/>
          <w:highlight w:val="white"/>
        </w:rPr>
        <w:t>Correspondencia a:</w:t>
      </w:r>
      <w:r w:rsidR="0073432D">
        <w:rPr>
          <w:sz w:val="24"/>
          <w:szCs w:val="24"/>
          <w:highlight w:val="white"/>
        </w:rPr>
        <w:t xml:space="preserve"> Dr. Ví</w:t>
      </w:r>
      <w:r>
        <w:rPr>
          <w:sz w:val="24"/>
          <w:szCs w:val="24"/>
          <w:highlight w:val="white"/>
        </w:rPr>
        <w:t>ctor Navia Servicio de Neurología Clínica Alemana de Santiago. Manquehue Norte 1410, 10</w:t>
      </w:r>
      <w:r>
        <w:rPr>
          <w:sz w:val="24"/>
          <w:szCs w:val="24"/>
          <w:highlight w:val="white"/>
          <w:vertAlign w:val="superscript"/>
        </w:rPr>
        <w:t>mo</w:t>
      </w:r>
      <w:r>
        <w:rPr>
          <w:sz w:val="24"/>
          <w:szCs w:val="24"/>
          <w:highlight w:val="white"/>
        </w:rPr>
        <w:t xml:space="preserve"> piso. Vitacura, Santiago, Chile. Fax 56-2-2101061. e-mail: vh.navia@udd.cl</w:t>
      </w:r>
    </w:p>
    <w:p w14:paraId="58C24C17" w14:textId="77777777" w:rsidR="00BE00AE" w:rsidRDefault="00F43155">
      <w:pPr>
        <w:spacing w:after="200" w:line="360" w:lineRule="auto"/>
        <w:rPr>
          <w:sz w:val="24"/>
          <w:szCs w:val="24"/>
          <w:highlight w:val="white"/>
        </w:rPr>
      </w:pPr>
      <w:r>
        <w:rPr>
          <w:sz w:val="24"/>
          <w:szCs w:val="24"/>
          <w:highlight w:val="white"/>
        </w:rPr>
        <w:t>Trabajo sin fuente de financiamiento</w:t>
      </w:r>
    </w:p>
    <w:p w14:paraId="30EDE858" w14:textId="77777777" w:rsidR="00BE00AE" w:rsidRDefault="00BE00AE">
      <w:pPr>
        <w:spacing w:after="200" w:line="360" w:lineRule="auto"/>
        <w:rPr>
          <w:sz w:val="24"/>
          <w:szCs w:val="24"/>
          <w:highlight w:val="white"/>
        </w:rPr>
      </w:pPr>
    </w:p>
    <w:p w14:paraId="31F75794" w14:textId="77777777" w:rsidR="00BE00AE" w:rsidRDefault="00F43155">
      <w:pPr>
        <w:spacing w:after="200" w:line="360" w:lineRule="auto"/>
        <w:jc w:val="both"/>
        <w:rPr>
          <w:sz w:val="24"/>
          <w:szCs w:val="24"/>
          <w:highlight w:val="white"/>
        </w:rPr>
      </w:pPr>
      <w:r>
        <w:rPr>
          <w:sz w:val="24"/>
          <w:szCs w:val="24"/>
          <w:highlight w:val="white"/>
        </w:rPr>
        <w:t>Número de Tablas y de Figuras que se adjuntan: 2</w:t>
      </w:r>
    </w:p>
    <w:p w14:paraId="78E799E9" w14:textId="118818B3" w:rsidR="00BE00AE" w:rsidRPr="00177955" w:rsidRDefault="00F43155">
      <w:pPr>
        <w:spacing w:after="200" w:line="360" w:lineRule="auto"/>
        <w:jc w:val="both"/>
        <w:rPr>
          <w:sz w:val="24"/>
          <w:szCs w:val="24"/>
          <w:highlight w:val="white"/>
          <w:vertAlign w:val="superscript"/>
          <w:lang w:val="en-US"/>
        </w:rPr>
      </w:pPr>
      <w:r w:rsidRPr="00177955">
        <w:rPr>
          <w:sz w:val="24"/>
          <w:szCs w:val="24"/>
          <w:highlight w:val="white"/>
          <w:lang w:val="en-US"/>
        </w:rPr>
        <w:t>Recuento computacional de palabras: 1</w:t>
      </w:r>
      <w:r w:rsidR="009B2ECE">
        <w:rPr>
          <w:sz w:val="24"/>
          <w:szCs w:val="24"/>
          <w:highlight w:val="white"/>
          <w:lang w:val="en-US"/>
        </w:rPr>
        <w:t>512</w:t>
      </w:r>
    </w:p>
    <w:p w14:paraId="680874FB" w14:textId="77777777" w:rsidR="00BE00AE" w:rsidRPr="00177955" w:rsidRDefault="00BE00AE">
      <w:pPr>
        <w:spacing w:line="360" w:lineRule="auto"/>
        <w:rPr>
          <w:sz w:val="24"/>
          <w:szCs w:val="24"/>
          <w:lang w:val="en-US"/>
        </w:rPr>
      </w:pPr>
    </w:p>
    <w:p w14:paraId="74EEE8D8" w14:textId="6E341ED5" w:rsidR="00BE00AE" w:rsidRDefault="003C40C8" w:rsidP="00437950">
      <w:pPr>
        <w:rPr>
          <w:sz w:val="24"/>
          <w:szCs w:val="24"/>
          <w:lang w:val="en-US"/>
        </w:rPr>
      </w:pPr>
      <w:r>
        <w:rPr>
          <w:sz w:val="24"/>
          <w:szCs w:val="24"/>
          <w:lang w:val="en-US"/>
        </w:rPr>
        <w:br w:type="page"/>
      </w:r>
    </w:p>
    <w:p w14:paraId="713E2C34" w14:textId="7932B9E7" w:rsidR="00EE650F" w:rsidRPr="00EE650F" w:rsidRDefault="00EE650F">
      <w:pPr>
        <w:spacing w:after="200" w:line="360" w:lineRule="auto"/>
        <w:jc w:val="both"/>
        <w:rPr>
          <w:sz w:val="24"/>
          <w:szCs w:val="24"/>
          <w:lang w:val="en-US"/>
        </w:rPr>
      </w:pPr>
    </w:p>
    <w:p w14:paraId="42500525" w14:textId="6A467CD5" w:rsidR="00EE650F" w:rsidRPr="00090318" w:rsidRDefault="00EE650F" w:rsidP="0043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000000" w:themeColor="text1"/>
          <w:sz w:val="42"/>
          <w:szCs w:val="42"/>
          <w:lang w:val="en-US" w:eastAsia="es-MX"/>
        </w:rPr>
      </w:pPr>
      <w:r w:rsidRPr="00090318">
        <w:rPr>
          <w:rFonts w:eastAsia="Times New Roman"/>
          <w:color w:val="000000" w:themeColor="text1"/>
          <w:sz w:val="24"/>
          <w:szCs w:val="24"/>
          <w:highlight w:val="yellow"/>
          <w:lang w:val="en" w:eastAsia="es-MX"/>
        </w:rPr>
        <w:t>We present a 78-year-old man with 2-point basal Rankin, last seen well 10 hours ago, who</w:t>
      </w:r>
      <w:r w:rsidR="00BC71A5" w:rsidRPr="00090318">
        <w:rPr>
          <w:rFonts w:eastAsia="Times New Roman"/>
          <w:color w:val="000000" w:themeColor="text1"/>
          <w:sz w:val="24"/>
          <w:szCs w:val="24"/>
          <w:highlight w:val="yellow"/>
          <w:lang w:val="en" w:eastAsia="es-MX"/>
        </w:rPr>
        <w:t xml:space="preserve"> arrive</w:t>
      </w:r>
      <w:r w:rsidRPr="00090318">
        <w:rPr>
          <w:rFonts w:eastAsia="Times New Roman"/>
          <w:color w:val="000000" w:themeColor="text1"/>
          <w:sz w:val="24"/>
          <w:szCs w:val="24"/>
          <w:highlight w:val="yellow"/>
          <w:lang w:val="en" w:eastAsia="es-MX"/>
        </w:rPr>
        <w:t xml:space="preserve"> to the emergency depart</w:t>
      </w:r>
      <w:r w:rsidR="00E47AF0" w:rsidRPr="00090318">
        <w:rPr>
          <w:rFonts w:eastAsia="Times New Roman"/>
          <w:color w:val="000000" w:themeColor="text1"/>
          <w:sz w:val="24"/>
          <w:szCs w:val="24"/>
          <w:highlight w:val="yellow"/>
          <w:lang w:val="en" w:eastAsia="es-MX"/>
        </w:rPr>
        <w:t xml:space="preserve">ment with left hemiparesis, </w:t>
      </w:r>
      <w:r w:rsidRPr="00090318">
        <w:rPr>
          <w:rFonts w:eastAsia="Times New Roman"/>
          <w:color w:val="000000" w:themeColor="text1"/>
          <w:sz w:val="24"/>
          <w:szCs w:val="24"/>
          <w:highlight w:val="yellow"/>
          <w:lang w:val="en" w:eastAsia="es-MX"/>
        </w:rPr>
        <w:t xml:space="preserve">hypoesthesia, and neglect. Neuroimaging </w:t>
      </w:r>
      <w:r w:rsidR="00177955" w:rsidRPr="00090318">
        <w:rPr>
          <w:rFonts w:eastAsia="Times New Roman"/>
          <w:color w:val="000000" w:themeColor="text1"/>
          <w:sz w:val="24"/>
          <w:szCs w:val="24"/>
          <w:highlight w:val="yellow"/>
          <w:lang w:val="en" w:eastAsia="es-MX"/>
        </w:rPr>
        <w:t xml:space="preserve">was </w:t>
      </w:r>
      <w:r w:rsidRPr="00090318">
        <w:rPr>
          <w:rFonts w:eastAsia="Times New Roman"/>
          <w:color w:val="000000" w:themeColor="text1"/>
          <w:sz w:val="24"/>
          <w:szCs w:val="24"/>
          <w:highlight w:val="yellow"/>
          <w:lang w:val="en" w:eastAsia="es-MX"/>
        </w:rPr>
        <w:t xml:space="preserve">compatible with </w:t>
      </w:r>
      <w:r w:rsidR="00177955" w:rsidRPr="00090318">
        <w:rPr>
          <w:rFonts w:eastAsia="Times New Roman"/>
          <w:color w:val="000000" w:themeColor="text1"/>
          <w:sz w:val="24"/>
          <w:szCs w:val="24"/>
          <w:highlight w:val="yellow"/>
          <w:lang w:val="en" w:eastAsia="es-MX"/>
        </w:rPr>
        <w:t>stroke</w:t>
      </w:r>
      <w:r w:rsidRPr="00090318">
        <w:rPr>
          <w:rFonts w:eastAsia="Times New Roman"/>
          <w:color w:val="000000" w:themeColor="text1"/>
          <w:sz w:val="24"/>
          <w:szCs w:val="24"/>
          <w:highlight w:val="yellow"/>
          <w:lang w:val="en" w:eastAsia="es-MX"/>
        </w:rPr>
        <w:t xml:space="preserve"> in the territory of the right middle cerebral artery, and thrombolyzed with Tenecteplase with reversal of symptoms without symptomatic bleeding and with recovery of baseline functionality.</w:t>
      </w:r>
    </w:p>
    <w:p w14:paraId="1F66407B" w14:textId="77777777" w:rsidR="00437950" w:rsidRPr="00437950" w:rsidRDefault="00437950" w:rsidP="0043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22222"/>
          <w:sz w:val="42"/>
          <w:szCs w:val="42"/>
          <w:lang w:val="en-US" w:eastAsia="es-MX"/>
        </w:rPr>
      </w:pPr>
    </w:p>
    <w:p w14:paraId="0C67A939" w14:textId="77777777" w:rsidR="00BE00AE" w:rsidRDefault="00F43155">
      <w:pPr>
        <w:spacing w:after="200" w:line="360" w:lineRule="auto"/>
        <w:jc w:val="both"/>
        <w:rPr>
          <w:sz w:val="24"/>
          <w:szCs w:val="24"/>
        </w:rPr>
      </w:pPr>
      <w:r>
        <w:rPr>
          <w:sz w:val="24"/>
          <w:szCs w:val="24"/>
        </w:rPr>
        <w:t>keywords: thrombolysis, ASPECTS, tenecteplase</w:t>
      </w:r>
    </w:p>
    <w:p w14:paraId="7FD3A1D5" w14:textId="761EB975" w:rsidR="007B3D00" w:rsidRDefault="007B3D00">
      <w:pPr>
        <w:spacing w:after="200" w:line="360" w:lineRule="auto"/>
        <w:jc w:val="both"/>
        <w:rPr>
          <w:sz w:val="24"/>
          <w:szCs w:val="24"/>
        </w:rPr>
      </w:pPr>
      <w:r>
        <w:rPr>
          <w:sz w:val="24"/>
          <w:szCs w:val="24"/>
        </w:rPr>
        <w:t xml:space="preserve">Presentamos </w:t>
      </w:r>
      <w:r w:rsidRPr="007B3D00">
        <w:rPr>
          <w:sz w:val="24"/>
          <w:szCs w:val="24"/>
        </w:rPr>
        <w:t xml:space="preserve">a un </w:t>
      </w:r>
      <w:r>
        <w:rPr>
          <w:sz w:val="24"/>
          <w:szCs w:val="24"/>
        </w:rPr>
        <w:t>hombre</w:t>
      </w:r>
      <w:r w:rsidRPr="007B3D00">
        <w:rPr>
          <w:sz w:val="24"/>
          <w:szCs w:val="24"/>
        </w:rPr>
        <w:t xml:space="preserve"> de 78 años con Rankin</w:t>
      </w:r>
      <w:r>
        <w:rPr>
          <w:sz w:val="24"/>
          <w:szCs w:val="24"/>
        </w:rPr>
        <w:t xml:space="preserve"> basal de 2 puntos</w:t>
      </w:r>
      <w:r w:rsidRPr="007B3D00">
        <w:rPr>
          <w:sz w:val="24"/>
          <w:szCs w:val="24"/>
        </w:rPr>
        <w:t xml:space="preserve">, visto por última vez </w:t>
      </w:r>
      <w:r>
        <w:rPr>
          <w:sz w:val="24"/>
          <w:szCs w:val="24"/>
        </w:rPr>
        <w:t xml:space="preserve">bien </w:t>
      </w:r>
      <w:r w:rsidRPr="007B3D00">
        <w:rPr>
          <w:sz w:val="24"/>
          <w:szCs w:val="24"/>
        </w:rPr>
        <w:t xml:space="preserve">hace 10 horas, que se presenta en la </w:t>
      </w:r>
      <w:r>
        <w:rPr>
          <w:sz w:val="24"/>
          <w:szCs w:val="24"/>
        </w:rPr>
        <w:t>servicio de urgencia</w:t>
      </w:r>
      <w:r w:rsidRPr="007B3D00">
        <w:rPr>
          <w:sz w:val="24"/>
          <w:szCs w:val="24"/>
        </w:rPr>
        <w:t xml:space="preserve"> con hemiparesia izquierda, hemihipoestesia y negligencia. </w:t>
      </w:r>
      <w:r w:rsidR="00E47AF0">
        <w:rPr>
          <w:sz w:val="24"/>
          <w:szCs w:val="24"/>
        </w:rPr>
        <w:t>La n</w:t>
      </w:r>
      <w:r w:rsidR="000C3936">
        <w:rPr>
          <w:sz w:val="24"/>
          <w:szCs w:val="24"/>
        </w:rPr>
        <w:t>euroi</w:t>
      </w:r>
      <w:r w:rsidRPr="007B3D00">
        <w:rPr>
          <w:sz w:val="24"/>
          <w:szCs w:val="24"/>
        </w:rPr>
        <w:t xml:space="preserve">magen </w:t>
      </w:r>
      <w:r w:rsidR="00E47AF0">
        <w:rPr>
          <w:sz w:val="24"/>
          <w:szCs w:val="24"/>
        </w:rPr>
        <w:t xml:space="preserve">fue </w:t>
      </w:r>
      <w:r w:rsidRPr="007B3D00">
        <w:rPr>
          <w:sz w:val="24"/>
          <w:szCs w:val="24"/>
        </w:rPr>
        <w:t xml:space="preserve">compatible con </w:t>
      </w:r>
      <w:r w:rsidR="00E47AF0">
        <w:rPr>
          <w:sz w:val="24"/>
          <w:szCs w:val="24"/>
        </w:rPr>
        <w:t xml:space="preserve">un </w:t>
      </w:r>
      <w:r w:rsidRPr="007B3D00">
        <w:rPr>
          <w:sz w:val="24"/>
          <w:szCs w:val="24"/>
        </w:rPr>
        <w:t>accidente cerebrovascular en el territorio de la arteria cerebral media derecha,</w:t>
      </w:r>
      <w:r>
        <w:rPr>
          <w:sz w:val="24"/>
          <w:szCs w:val="24"/>
        </w:rPr>
        <w:t xml:space="preserve"> y trombolizado con </w:t>
      </w:r>
      <w:r w:rsidR="00ED78DD">
        <w:rPr>
          <w:sz w:val="24"/>
          <w:szCs w:val="24"/>
        </w:rPr>
        <w:t>T</w:t>
      </w:r>
      <w:r>
        <w:rPr>
          <w:sz w:val="24"/>
          <w:szCs w:val="24"/>
        </w:rPr>
        <w:t>enecteplase</w:t>
      </w:r>
      <w:r w:rsidRPr="007B3D00">
        <w:rPr>
          <w:sz w:val="24"/>
          <w:szCs w:val="24"/>
        </w:rPr>
        <w:t xml:space="preserve"> con reversión de la clínica sin hemorragia sintomática y con recuperación de la funcionalidad basal</w:t>
      </w:r>
      <w:r>
        <w:rPr>
          <w:sz w:val="24"/>
          <w:szCs w:val="24"/>
        </w:rPr>
        <w:t>.</w:t>
      </w:r>
    </w:p>
    <w:p w14:paraId="74F45612" w14:textId="77777777" w:rsidR="00BE00AE" w:rsidRDefault="00BE00AE">
      <w:pPr>
        <w:spacing w:after="200" w:line="360" w:lineRule="auto"/>
        <w:jc w:val="both"/>
        <w:rPr>
          <w:sz w:val="24"/>
          <w:szCs w:val="24"/>
        </w:rPr>
      </w:pPr>
    </w:p>
    <w:p w14:paraId="5C96EDBE" w14:textId="77777777" w:rsidR="003C40C8" w:rsidRDefault="003C40C8">
      <w:pPr>
        <w:rPr>
          <w:sz w:val="24"/>
          <w:szCs w:val="24"/>
        </w:rPr>
      </w:pPr>
      <w:r>
        <w:rPr>
          <w:sz w:val="24"/>
          <w:szCs w:val="24"/>
        </w:rPr>
        <w:br w:type="page"/>
      </w:r>
    </w:p>
    <w:p w14:paraId="252B7FF2" w14:textId="77777777" w:rsidR="00BE00AE" w:rsidRDefault="00F43155">
      <w:pPr>
        <w:spacing w:after="200" w:line="360" w:lineRule="auto"/>
        <w:jc w:val="both"/>
        <w:rPr>
          <w:sz w:val="24"/>
          <w:szCs w:val="24"/>
        </w:rPr>
      </w:pPr>
      <w:r>
        <w:rPr>
          <w:sz w:val="24"/>
          <w:szCs w:val="24"/>
        </w:rPr>
        <w:lastRenderedPageBreak/>
        <w:t>Introducción</w:t>
      </w:r>
    </w:p>
    <w:p w14:paraId="10D82C4D" w14:textId="77777777" w:rsidR="00BE00AE" w:rsidRDefault="00F43155">
      <w:pPr>
        <w:spacing w:after="200" w:line="360" w:lineRule="auto"/>
        <w:ind w:firstLine="720"/>
        <w:jc w:val="both"/>
        <w:rPr>
          <w:sz w:val="24"/>
          <w:szCs w:val="24"/>
          <w:highlight w:val="red"/>
        </w:rPr>
      </w:pPr>
      <w:r>
        <w:rPr>
          <w:sz w:val="24"/>
          <w:szCs w:val="24"/>
        </w:rPr>
        <w:t xml:space="preserve">La terapia de reperfusión está fuertemente asociada con un mejor resultado en ataque cerebrovascular isquémico agudo (ACV) </w:t>
      </w:r>
      <w:r w:rsidRPr="00BD6EAD">
        <w:rPr>
          <w:sz w:val="24"/>
          <w:szCs w:val="24"/>
          <w:vertAlign w:val="superscript"/>
        </w:rPr>
        <w:t>(1)</w:t>
      </w:r>
    </w:p>
    <w:p w14:paraId="50284117" w14:textId="77777777" w:rsidR="00BE00AE" w:rsidRDefault="00F43155">
      <w:pPr>
        <w:spacing w:after="200" w:line="360" w:lineRule="auto"/>
        <w:jc w:val="both"/>
        <w:rPr>
          <w:sz w:val="24"/>
          <w:szCs w:val="24"/>
        </w:rPr>
      </w:pPr>
      <w:r>
        <w:rPr>
          <w:sz w:val="24"/>
          <w:szCs w:val="24"/>
        </w:rPr>
        <w:t xml:space="preserve">Alteplase, trombolítico endovenoso (IVT) es el fármaco con mejor evidencia de uso en ACV. Como desventaja tiene una vida media corta, requiriendo infusión continua de 1 hora </w:t>
      </w:r>
      <w:r w:rsidRPr="00BD6EAD">
        <w:rPr>
          <w:sz w:val="24"/>
          <w:szCs w:val="24"/>
          <w:vertAlign w:val="superscript"/>
        </w:rPr>
        <w:t>(2,3</w:t>
      </w:r>
      <w:r w:rsidR="00334686" w:rsidRPr="00BD6EAD">
        <w:rPr>
          <w:sz w:val="24"/>
          <w:szCs w:val="24"/>
          <w:vertAlign w:val="superscript"/>
        </w:rPr>
        <w:t>,5</w:t>
      </w:r>
      <w:r w:rsidRPr="00BD6EAD">
        <w:rPr>
          <w:sz w:val="24"/>
          <w:szCs w:val="24"/>
          <w:vertAlign w:val="superscript"/>
        </w:rPr>
        <w:t>).</w:t>
      </w:r>
    </w:p>
    <w:p w14:paraId="3355F542" w14:textId="031388B6" w:rsidR="00BE00AE" w:rsidRPr="00F80872" w:rsidRDefault="00F43155">
      <w:pPr>
        <w:spacing w:after="200" w:line="360" w:lineRule="auto"/>
        <w:jc w:val="both"/>
        <w:rPr>
          <w:sz w:val="24"/>
          <w:szCs w:val="24"/>
        </w:rPr>
      </w:pPr>
      <w:r w:rsidRPr="00090318">
        <w:rPr>
          <w:sz w:val="24"/>
          <w:szCs w:val="24"/>
          <w:highlight w:val="yellow"/>
        </w:rPr>
        <w:t xml:space="preserve">La trombolisis con Tenecteplase (TNK) </w:t>
      </w:r>
      <w:r w:rsidR="00E4164B" w:rsidRPr="00090318">
        <w:rPr>
          <w:sz w:val="24"/>
          <w:szCs w:val="24"/>
          <w:highlight w:val="yellow"/>
        </w:rPr>
        <w:t xml:space="preserve">ha sido considerado como opción de trombolisis en etapas tempranas con ventajas farmacocinéticas respecto a </w:t>
      </w:r>
      <w:r w:rsidR="0017787A" w:rsidRPr="00090318">
        <w:rPr>
          <w:sz w:val="24"/>
          <w:szCs w:val="24"/>
          <w:highlight w:val="yellow"/>
        </w:rPr>
        <w:t>Alteplase</w:t>
      </w:r>
      <w:r w:rsidR="00E4164B" w:rsidRPr="00090318">
        <w:rPr>
          <w:sz w:val="24"/>
          <w:szCs w:val="24"/>
          <w:highlight w:val="yellow"/>
        </w:rPr>
        <w:t xml:space="preserve">, </w:t>
      </w:r>
      <w:r w:rsidRPr="00090318">
        <w:rPr>
          <w:sz w:val="24"/>
          <w:szCs w:val="24"/>
          <w:highlight w:val="yellow"/>
        </w:rPr>
        <w:t xml:space="preserve">principalmente </w:t>
      </w:r>
      <w:r w:rsidR="00F80872" w:rsidRPr="00090318">
        <w:rPr>
          <w:sz w:val="24"/>
          <w:szCs w:val="24"/>
          <w:highlight w:val="yellow"/>
        </w:rPr>
        <w:t>útil</w:t>
      </w:r>
      <w:r w:rsidRPr="00090318">
        <w:rPr>
          <w:sz w:val="24"/>
          <w:szCs w:val="24"/>
          <w:highlight w:val="yellow"/>
        </w:rPr>
        <w:t xml:space="preserve"> </w:t>
      </w:r>
      <w:r w:rsidR="00F80872" w:rsidRPr="00090318">
        <w:rPr>
          <w:sz w:val="24"/>
          <w:szCs w:val="24"/>
          <w:highlight w:val="yellow"/>
        </w:rPr>
        <w:t xml:space="preserve">en </w:t>
      </w:r>
      <w:r w:rsidRPr="00090318">
        <w:rPr>
          <w:sz w:val="24"/>
          <w:szCs w:val="24"/>
          <w:highlight w:val="yellow"/>
        </w:rPr>
        <w:t xml:space="preserve">trombectomía mecánica, logrando mejor </w:t>
      </w:r>
      <w:r w:rsidR="00F22982" w:rsidRPr="00090318">
        <w:rPr>
          <w:sz w:val="24"/>
          <w:szCs w:val="24"/>
          <w:highlight w:val="yellow"/>
        </w:rPr>
        <w:t xml:space="preserve">tasa de </w:t>
      </w:r>
      <w:r w:rsidRPr="00090318">
        <w:rPr>
          <w:sz w:val="24"/>
          <w:szCs w:val="24"/>
          <w:highlight w:val="yellow"/>
        </w:rPr>
        <w:t>reperfusión</w:t>
      </w:r>
      <w:r w:rsidR="00402207" w:rsidRPr="00090318">
        <w:rPr>
          <w:sz w:val="24"/>
          <w:szCs w:val="24"/>
          <w:highlight w:val="yellow"/>
        </w:rPr>
        <w:t xml:space="preserve"> y menor riesgo de sangrado.</w:t>
      </w:r>
      <w:r w:rsidRPr="00090318">
        <w:rPr>
          <w:sz w:val="24"/>
          <w:szCs w:val="24"/>
          <w:highlight w:val="yellow"/>
        </w:rPr>
        <w:t xml:space="preserve"> </w:t>
      </w:r>
      <w:r w:rsidRPr="00090318">
        <w:rPr>
          <w:sz w:val="24"/>
          <w:szCs w:val="24"/>
          <w:highlight w:val="yellow"/>
          <w:vertAlign w:val="superscript"/>
        </w:rPr>
        <w:t>(</w:t>
      </w:r>
      <w:r w:rsidR="00054B3D" w:rsidRPr="00090318">
        <w:rPr>
          <w:sz w:val="24"/>
          <w:szCs w:val="24"/>
          <w:highlight w:val="yellow"/>
          <w:vertAlign w:val="superscript"/>
        </w:rPr>
        <w:t>8, 9, 10, 11</w:t>
      </w:r>
      <w:r w:rsidRPr="00090318">
        <w:rPr>
          <w:sz w:val="24"/>
          <w:szCs w:val="24"/>
          <w:highlight w:val="yellow"/>
          <w:vertAlign w:val="superscript"/>
        </w:rPr>
        <w:t>)</w:t>
      </w:r>
    </w:p>
    <w:p w14:paraId="15696C60" w14:textId="23614E61" w:rsidR="0068045C" w:rsidRDefault="00F43155">
      <w:pPr>
        <w:spacing w:after="200" w:line="360" w:lineRule="auto"/>
        <w:jc w:val="both"/>
        <w:rPr>
          <w:sz w:val="24"/>
          <w:szCs w:val="24"/>
        </w:rPr>
      </w:pPr>
      <w:r w:rsidRPr="00090318">
        <w:rPr>
          <w:sz w:val="24"/>
          <w:szCs w:val="24"/>
          <w:highlight w:val="yellow"/>
        </w:rPr>
        <w:t>Pacientes con ACV del despertar pueden ser candidatos a terapia de reperfusión con selección por imágenes avanzadas</w:t>
      </w:r>
      <w:r>
        <w:rPr>
          <w:sz w:val="24"/>
          <w:szCs w:val="24"/>
        </w:rPr>
        <w:t xml:space="preserve">. </w:t>
      </w:r>
      <w:r w:rsidRPr="00090318">
        <w:rPr>
          <w:sz w:val="24"/>
          <w:szCs w:val="24"/>
          <w:highlight w:val="yellow"/>
          <w:vertAlign w:val="superscript"/>
        </w:rPr>
        <w:t>(</w:t>
      </w:r>
      <w:r w:rsidR="00054B3D" w:rsidRPr="00090318">
        <w:rPr>
          <w:sz w:val="24"/>
          <w:szCs w:val="24"/>
          <w:highlight w:val="yellow"/>
          <w:vertAlign w:val="superscript"/>
        </w:rPr>
        <w:t xml:space="preserve">6,7, </w:t>
      </w:r>
      <w:r w:rsidR="00334686" w:rsidRPr="00090318">
        <w:rPr>
          <w:sz w:val="24"/>
          <w:szCs w:val="24"/>
          <w:highlight w:val="yellow"/>
          <w:vertAlign w:val="superscript"/>
        </w:rPr>
        <w:t>12, 13</w:t>
      </w:r>
      <w:r w:rsidRPr="00090318">
        <w:rPr>
          <w:sz w:val="24"/>
          <w:szCs w:val="24"/>
          <w:highlight w:val="yellow"/>
          <w:vertAlign w:val="superscript"/>
        </w:rPr>
        <w:t>)</w:t>
      </w:r>
      <w:r w:rsidR="00CB3E84" w:rsidRPr="00090318">
        <w:rPr>
          <w:sz w:val="24"/>
          <w:szCs w:val="24"/>
          <w:highlight w:val="yellow"/>
        </w:rPr>
        <w:t xml:space="preserve"> </w:t>
      </w:r>
      <w:r w:rsidR="004C269F" w:rsidRPr="00090318">
        <w:rPr>
          <w:sz w:val="24"/>
          <w:szCs w:val="24"/>
          <w:highlight w:val="yellow"/>
        </w:rPr>
        <w:t>aunque</w:t>
      </w:r>
      <w:r w:rsidR="00540532" w:rsidRPr="00090318">
        <w:rPr>
          <w:sz w:val="24"/>
          <w:szCs w:val="24"/>
          <w:highlight w:val="yellow"/>
        </w:rPr>
        <w:t xml:space="preserve"> no esta</w:t>
      </w:r>
      <w:r w:rsidR="0095084C" w:rsidRPr="00090318">
        <w:rPr>
          <w:sz w:val="24"/>
          <w:szCs w:val="24"/>
          <w:highlight w:val="yellow"/>
        </w:rPr>
        <w:t xml:space="preserve"> claro su be</w:t>
      </w:r>
      <w:r w:rsidR="00A5013B" w:rsidRPr="00090318">
        <w:rPr>
          <w:sz w:val="24"/>
          <w:szCs w:val="24"/>
          <w:highlight w:val="yellow"/>
        </w:rPr>
        <w:t xml:space="preserve">neficio </w:t>
      </w:r>
      <w:r w:rsidR="009E05DB" w:rsidRPr="00090318">
        <w:rPr>
          <w:sz w:val="24"/>
          <w:szCs w:val="24"/>
          <w:highlight w:val="yellow"/>
        </w:rPr>
        <w:t>cua</w:t>
      </w:r>
      <w:r w:rsidR="00DB4310" w:rsidRPr="00090318">
        <w:rPr>
          <w:sz w:val="24"/>
          <w:szCs w:val="24"/>
          <w:highlight w:val="yellow"/>
        </w:rPr>
        <w:t xml:space="preserve">ndo </w:t>
      </w:r>
      <w:r w:rsidR="0025711D" w:rsidRPr="00090318">
        <w:rPr>
          <w:sz w:val="24"/>
          <w:szCs w:val="24"/>
          <w:highlight w:val="yellow"/>
        </w:rPr>
        <w:t>solo se cuenta con</w:t>
      </w:r>
      <w:r w:rsidR="00A47AF2" w:rsidRPr="00090318">
        <w:rPr>
          <w:sz w:val="24"/>
          <w:szCs w:val="24"/>
          <w:highlight w:val="yellow"/>
        </w:rPr>
        <w:t xml:space="preserve"> CT</w:t>
      </w:r>
      <w:r w:rsidR="00E47AF0" w:rsidRPr="00090318">
        <w:rPr>
          <w:sz w:val="24"/>
          <w:szCs w:val="24"/>
          <w:highlight w:val="yellow"/>
        </w:rPr>
        <w:t>/</w:t>
      </w:r>
      <w:r w:rsidR="00064E3B" w:rsidRPr="00090318">
        <w:rPr>
          <w:sz w:val="24"/>
          <w:szCs w:val="24"/>
          <w:highlight w:val="yellow"/>
        </w:rPr>
        <w:t>CT</w:t>
      </w:r>
      <w:r w:rsidR="00E47AF0" w:rsidRPr="00090318">
        <w:rPr>
          <w:sz w:val="24"/>
          <w:szCs w:val="24"/>
          <w:highlight w:val="yellow"/>
        </w:rPr>
        <w:t>A</w:t>
      </w:r>
      <w:r w:rsidR="00E96CD0" w:rsidRPr="00090318">
        <w:rPr>
          <w:sz w:val="24"/>
          <w:szCs w:val="24"/>
          <w:highlight w:val="yellow"/>
        </w:rPr>
        <w:t>,</w:t>
      </w:r>
      <w:r w:rsidR="00365787" w:rsidRPr="00090318">
        <w:rPr>
          <w:sz w:val="24"/>
          <w:szCs w:val="24"/>
          <w:highlight w:val="yellow"/>
        </w:rPr>
        <w:t xml:space="preserve"> pero un </w:t>
      </w:r>
      <w:r w:rsidR="00C445FA" w:rsidRPr="00090318">
        <w:rPr>
          <w:sz w:val="24"/>
          <w:szCs w:val="24"/>
          <w:highlight w:val="yellow"/>
        </w:rPr>
        <w:t xml:space="preserve">estudio </w:t>
      </w:r>
      <w:r w:rsidR="00B82279" w:rsidRPr="00090318">
        <w:rPr>
          <w:sz w:val="24"/>
          <w:szCs w:val="24"/>
          <w:highlight w:val="yellow"/>
        </w:rPr>
        <w:t>concluyó</w:t>
      </w:r>
      <w:r w:rsidR="00C445FA" w:rsidRPr="00090318">
        <w:rPr>
          <w:sz w:val="24"/>
          <w:szCs w:val="24"/>
          <w:highlight w:val="yellow"/>
        </w:rPr>
        <w:t xml:space="preserve"> que con un</w:t>
      </w:r>
      <w:r w:rsidR="00B82279" w:rsidRPr="00090318">
        <w:rPr>
          <w:sz w:val="24"/>
          <w:szCs w:val="24"/>
          <w:highlight w:val="yellow"/>
        </w:rPr>
        <w:t xml:space="preserve"> </w:t>
      </w:r>
      <w:r w:rsidR="00ED78DD" w:rsidRPr="00090318">
        <w:rPr>
          <w:sz w:val="24"/>
          <w:szCs w:val="24"/>
          <w:highlight w:val="yellow"/>
        </w:rPr>
        <w:t>mayor puntaje</w:t>
      </w:r>
      <w:r w:rsidR="00B82279" w:rsidRPr="00090318">
        <w:rPr>
          <w:sz w:val="24"/>
          <w:szCs w:val="24"/>
          <w:highlight w:val="yellow"/>
        </w:rPr>
        <w:t xml:space="preserve"> de</w:t>
      </w:r>
      <w:r w:rsidR="00C445FA" w:rsidRPr="00090318">
        <w:rPr>
          <w:sz w:val="24"/>
          <w:szCs w:val="24"/>
          <w:highlight w:val="yellow"/>
        </w:rPr>
        <w:t xml:space="preserve"> AS</w:t>
      </w:r>
      <w:r w:rsidR="0064309E" w:rsidRPr="00090318">
        <w:rPr>
          <w:sz w:val="24"/>
          <w:szCs w:val="24"/>
          <w:highlight w:val="yellow"/>
        </w:rPr>
        <w:t>PEC</w:t>
      </w:r>
      <w:r w:rsidR="00C445FA" w:rsidRPr="00090318">
        <w:rPr>
          <w:sz w:val="24"/>
          <w:szCs w:val="24"/>
          <w:highlight w:val="yellow"/>
        </w:rPr>
        <w:t xml:space="preserve">TS </w:t>
      </w:r>
      <w:r w:rsidR="00C02316" w:rsidRPr="00090318">
        <w:rPr>
          <w:sz w:val="24"/>
          <w:szCs w:val="24"/>
          <w:highlight w:val="yellow"/>
        </w:rPr>
        <w:t>predecía</w:t>
      </w:r>
      <w:r w:rsidR="0064309E" w:rsidRPr="00090318">
        <w:rPr>
          <w:sz w:val="24"/>
          <w:szCs w:val="24"/>
          <w:highlight w:val="yellow"/>
        </w:rPr>
        <w:t xml:space="preserve"> un </w:t>
      </w:r>
      <w:r w:rsidR="00ED78DD" w:rsidRPr="00090318">
        <w:rPr>
          <w:sz w:val="24"/>
          <w:szCs w:val="24"/>
          <w:highlight w:val="yellow"/>
        </w:rPr>
        <w:t>r</w:t>
      </w:r>
      <w:r w:rsidR="0064309E" w:rsidRPr="00090318">
        <w:rPr>
          <w:sz w:val="24"/>
          <w:szCs w:val="24"/>
          <w:highlight w:val="yellow"/>
        </w:rPr>
        <w:t xml:space="preserve">esultado favorable en CT </w:t>
      </w:r>
      <w:r w:rsidR="004C269F" w:rsidRPr="00090318">
        <w:rPr>
          <w:sz w:val="24"/>
          <w:szCs w:val="24"/>
          <w:highlight w:val="yellow"/>
        </w:rPr>
        <w:t xml:space="preserve">perfusión </w:t>
      </w:r>
      <w:r w:rsidR="00073903" w:rsidRPr="00090318">
        <w:rPr>
          <w:sz w:val="24"/>
          <w:szCs w:val="24"/>
          <w:highlight w:val="yellow"/>
        </w:rPr>
        <w:t>con una sensibilidad de 79% y 8</w:t>
      </w:r>
      <w:r w:rsidR="00F6201B" w:rsidRPr="00090318">
        <w:rPr>
          <w:sz w:val="24"/>
          <w:szCs w:val="24"/>
          <w:highlight w:val="yellow"/>
        </w:rPr>
        <w:t xml:space="preserve">1% de </w:t>
      </w:r>
      <w:r w:rsidR="00D86B24" w:rsidRPr="00090318">
        <w:rPr>
          <w:sz w:val="24"/>
          <w:szCs w:val="24"/>
          <w:highlight w:val="yellow"/>
        </w:rPr>
        <w:t>especificidad</w:t>
      </w:r>
      <w:r w:rsidR="00D86B24" w:rsidRPr="00090318">
        <w:rPr>
          <w:sz w:val="24"/>
          <w:szCs w:val="24"/>
          <w:highlight w:val="yellow"/>
          <w:vertAlign w:val="superscript"/>
        </w:rPr>
        <w:t xml:space="preserve"> (</w:t>
      </w:r>
      <w:r w:rsidR="00F6201B" w:rsidRPr="00090318">
        <w:rPr>
          <w:sz w:val="24"/>
          <w:szCs w:val="24"/>
          <w:highlight w:val="yellow"/>
          <w:vertAlign w:val="superscript"/>
        </w:rPr>
        <w:t>1</w:t>
      </w:r>
      <w:r w:rsidR="00AD1B5D" w:rsidRPr="00090318">
        <w:rPr>
          <w:sz w:val="24"/>
          <w:szCs w:val="24"/>
          <w:highlight w:val="yellow"/>
          <w:vertAlign w:val="superscript"/>
        </w:rPr>
        <w:t>9</w:t>
      </w:r>
      <w:r w:rsidR="00F6201B" w:rsidRPr="00090318">
        <w:rPr>
          <w:sz w:val="24"/>
          <w:szCs w:val="24"/>
          <w:highlight w:val="yellow"/>
          <w:vertAlign w:val="superscript"/>
        </w:rPr>
        <w:t>)</w:t>
      </w:r>
      <w:r w:rsidR="00F6201B" w:rsidRPr="00090318">
        <w:rPr>
          <w:sz w:val="24"/>
          <w:szCs w:val="24"/>
          <w:highlight w:val="yellow"/>
        </w:rPr>
        <w:t xml:space="preserve">. </w:t>
      </w:r>
      <w:r w:rsidR="0099305A" w:rsidRPr="00090318">
        <w:rPr>
          <w:sz w:val="24"/>
          <w:szCs w:val="24"/>
          <w:highlight w:val="yellow"/>
        </w:rPr>
        <w:t>E</w:t>
      </w:r>
      <w:r w:rsidR="00EC45B1" w:rsidRPr="00090318">
        <w:rPr>
          <w:sz w:val="24"/>
          <w:szCs w:val="24"/>
          <w:highlight w:val="yellow"/>
        </w:rPr>
        <w:t xml:space="preserve">n </w:t>
      </w:r>
      <w:r w:rsidR="007A271D" w:rsidRPr="00090318">
        <w:rPr>
          <w:sz w:val="24"/>
          <w:szCs w:val="24"/>
          <w:highlight w:val="yellow"/>
        </w:rPr>
        <w:t>el estudio</w:t>
      </w:r>
      <w:r w:rsidR="00EC45B1" w:rsidRPr="00090318">
        <w:rPr>
          <w:sz w:val="24"/>
          <w:szCs w:val="24"/>
          <w:highlight w:val="yellow"/>
        </w:rPr>
        <w:t xml:space="preserve"> </w:t>
      </w:r>
      <w:r w:rsidR="005B1A5F" w:rsidRPr="00090318">
        <w:rPr>
          <w:sz w:val="24"/>
          <w:szCs w:val="24"/>
          <w:highlight w:val="yellow"/>
        </w:rPr>
        <w:t>SELECT</w:t>
      </w:r>
      <w:r w:rsidR="00474BC8" w:rsidRPr="00090318">
        <w:rPr>
          <w:sz w:val="24"/>
          <w:szCs w:val="24"/>
          <w:highlight w:val="yellow"/>
        </w:rPr>
        <w:t xml:space="preserve"> </w:t>
      </w:r>
      <w:r w:rsidR="006A2F7F" w:rsidRPr="00090318">
        <w:rPr>
          <w:sz w:val="24"/>
          <w:szCs w:val="24"/>
          <w:highlight w:val="yellow"/>
        </w:rPr>
        <w:t>también</w:t>
      </w:r>
      <w:r w:rsidR="002F6EA9" w:rsidRPr="00090318">
        <w:rPr>
          <w:sz w:val="24"/>
          <w:szCs w:val="24"/>
          <w:highlight w:val="yellow"/>
        </w:rPr>
        <w:t xml:space="preserve"> </w:t>
      </w:r>
      <w:r w:rsidR="00A01591" w:rsidRPr="00090318">
        <w:rPr>
          <w:sz w:val="24"/>
          <w:szCs w:val="24"/>
          <w:highlight w:val="yellow"/>
        </w:rPr>
        <w:t>demostró</w:t>
      </w:r>
      <w:r w:rsidR="00F92064" w:rsidRPr="00090318">
        <w:rPr>
          <w:sz w:val="24"/>
          <w:szCs w:val="24"/>
          <w:highlight w:val="yellow"/>
        </w:rPr>
        <w:t xml:space="preserve"> concordancia</w:t>
      </w:r>
      <w:r w:rsidR="00A01591" w:rsidRPr="00090318">
        <w:rPr>
          <w:sz w:val="24"/>
          <w:szCs w:val="24"/>
          <w:highlight w:val="yellow"/>
        </w:rPr>
        <w:t xml:space="preserve"> </w:t>
      </w:r>
      <w:r w:rsidR="001C216F" w:rsidRPr="00090318">
        <w:rPr>
          <w:sz w:val="24"/>
          <w:szCs w:val="24"/>
          <w:highlight w:val="yellow"/>
        </w:rPr>
        <w:t>entre puntaje</w:t>
      </w:r>
      <w:r w:rsidR="00EE016E" w:rsidRPr="00090318">
        <w:rPr>
          <w:sz w:val="24"/>
          <w:szCs w:val="24"/>
          <w:highlight w:val="yellow"/>
        </w:rPr>
        <w:t xml:space="preserve">s altos de </w:t>
      </w:r>
      <w:r w:rsidR="00A6012F" w:rsidRPr="00090318">
        <w:rPr>
          <w:sz w:val="24"/>
          <w:szCs w:val="24"/>
          <w:highlight w:val="yellow"/>
        </w:rPr>
        <w:t>ASPECT</w:t>
      </w:r>
      <w:r w:rsidR="003F4DB9" w:rsidRPr="00090318">
        <w:rPr>
          <w:sz w:val="24"/>
          <w:szCs w:val="24"/>
          <w:highlight w:val="yellow"/>
        </w:rPr>
        <w:t>S</w:t>
      </w:r>
      <w:r w:rsidR="00A6012F" w:rsidRPr="00090318">
        <w:rPr>
          <w:sz w:val="24"/>
          <w:szCs w:val="24"/>
          <w:highlight w:val="yellow"/>
        </w:rPr>
        <w:t xml:space="preserve"> y </w:t>
      </w:r>
      <w:r w:rsidR="00A6632C" w:rsidRPr="00090318">
        <w:rPr>
          <w:sz w:val="24"/>
          <w:szCs w:val="24"/>
          <w:highlight w:val="yellow"/>
        </w:rPr>
        <w:t>CT per</w:t>
      </w:r>
      <w:r w:rsidR="00176AD8" w:rsidRPr="00090318">
        <w:rPr>
          <w:sz w:val="24"/>
          <w:szCs w:val="24"/>
          <w:highlight w:val="yellow"/>
        </w:rPr>
        <w:t>fusi</w:t>
      </w:r>
      <w:r w:rsidR="00FE1544" w:rsidRPr="00090318">
        <w:rPr>
          <w:sz w:val="24"/>
          <w:szCs w:val="24"/>
          <w:highlight w:val="yellow"/>
        </w:rPr>
        <w:t>ón</w:t>
      </w:r>
      <w:r w:rsidR="002614E6" w:rsidRPr="00090318">
        <w:rPr>
          <w:sz w:val="24"/>
          <w:szCs w:val="24"/>
          <w:highlight w:val="yellow"/>
        </w:rPr>
        <w:t xml:space="preserve"> </w:t>
      </w:r>
      <w:r w:rsidR="003F72CA" w:rsidRPr="00090318">
        <w:rPr>
          <w:sz w:val="24"/>
          <w:szCs w:val="24"/>
          <w:highlight w:val="yellow"/>
          <w:vertAlign w:val="superscript"/>
        </w:rPr>
        <w:t>(</w:t>
      </w:r>
      <w:r w:rsidR="000F1D5D" w:rsidRPr="00090318">
        <w:rPr>
          <w:sz w:val="24"/>
          <w:szCs w:val="24"/>
          <w:highlight w:val="yellow"/>
          <w:vertAlign w:val="superscript"/>
        </w:rPr>
        <w:t>1</w:t>
      </w:r>
      <w:r w:rsidR="00AD1B5D" w:rsidRPr="00090318">
        <w:rPr>
          <w:sz w:val="24"/>
          <w:szCs w:val="24"/>
          <w:highlight w:val="yellow"/>
          <w:vertAlign w:val="superscript"/>
        </w:rPr>
        <w:t>8</w:t>
      </w:r>
      <w:r w:rsidR="000F1D5D" w:rsidRPr="00090318">
        <w:rPr>
          <w:sz w:val="24"/>
          <w:szCs w:val="24"/>
          <w:highlight w:val="yellow"/>
          <w:vertAlign w:val="superscript"/>
        </w:rPr>
        <w:t>)</w:t>
      </w:r>
      <w:r w:rsidR="00AD1B5D" w:rsidRPr="00090318">
        <w:rPr>
          <w:sz w:val="24"/>
          <w:szCs w:val="24"/>
          <w:highlight w:val="yellow"/>
        </w:rPr>
        <w:t>.</w:t>
      </w:r>
    </w:p>
    <w:p w14:paraId="143E4A3A" w14:textId="6615A39B" w:rsidR="00BE00AE" w:rsidRDefault="00F43155">
      <w:pPr>
        <w:spacing w:after="200" w:line="360" w:lineRule="auto"/>
        <w:jc w:val="both"/>
        <w:rPr>
          <w:sz w:val="24"/>
          <w:szCs w:val="24"/>
        </w:rPr>
      </w:pPr>
      <w:r>
        <w:rPr>
          <w:sz w:val="24"/>
          <w:szCs w:val="24"/>
        </w:rPr>
        <w:t>Reportamos el caso clínico de un paciente de 78 añ</w:t>
      </w:r>
      <w:r w:rsidR="0073432D">
        <w:rPr>
          <w:sz w:val="24"/>
          <w:szCs w:val="24"/>
        </w:rPr>
        <w:t>os evaluado más de 10 hrs despué</w:t>
      </w:r>
      <w:r>
        <w:rPr>
          <w:sz w:val="24"/>
          <w:szCs w:val="24"/>
        </w:rPr>
        <w:t>s de última vez visto bien, trombolizado con tenecteplase tras selección con imágenes cerebrales disponibles.</w:t>
      </w:r>
    </w:p>
    <w:p w14:paraId="34B240ED" w14:textId="7241BDD6" w:rsidR="00BE00AE" w:rsidRDefault="0073432D">
      <w:pPr>
        <w:spacing w:after="200" w:line="360" w:lineRule="auto"/>
        <w:jc w:val="both"/>
        <w:rPr>
          <w:sz w:val="24"/>
          <w:szCs w:val="24"/>
        </w:rPr>
      </w:pPr>
      <w:r>
        <w:rPr>
          <w:sz w:val="24"/>
          <w:szCs w:val="24"/>
        </w:rPr>
        <w:t>Paciente de 78 años</w:t>
      </w:r>
      <w:r w:rsidR="00F43155">
        <w:rPr>
          <w:sz w:val="24"/>
          <w:szCs w:val="24"/>
        </w:rPr>
        <w:t xml:space="preserve">, sexo masculino, diestro, con antecedente de hipertensión,  enfermedad renal crónica sin hemodiálisis y deterioro cognitivo en estudio, Rankin 2  activo, traído por familiares a servicio de urgencia hospitalario.  El paciente fue encontrado a las 9:30 am confuso, disártrico y con debilidad del hemicuerpo izquierdo. </w:t>
      </w:r>
    </w:p>
    <w:p w14:paraId="3571A43B" w14:textId="2AEBCDB3" w:rsidR="00BE00AE" w:rsidRDefault="00F43155">
      <w:pPr>
        <w:spacing w:after="200" w:line="360" w:lineRule="auto"/>
        <w:jc w:val="both"/>
        <w:rPr>
          <w:sz w:val="24"/>
          <w:szCs w:val="24"/>
        </w:rPr>
      </w:pPr>
      <w:r>
        <w:rPr>
          <w:sz w:val="24"/>
          <w:szCs w:val="24"/>
        </w:rPr>
        <w:t xml:space="preserve">Ingresa normotenso en glasgow 15, destacando al examen neurológico hemianopsia homónima izquierda, mirada preferente a derecha, hemiparesia facio-braquio-crural izquierda M4 con plantar extensor izquierdo y hemihipoestesia del mismo lado con NIHSS de 13 pts. TC de cerebro con ASPECTS </w:t>
      </w:r>
      <w:r w:rsidR="0073432D">
        <w:rPr>
          <w:sz w:val="24"/>
          <w:szCs w:val="24"/>
        </w:rPr>
        <w:t xml:space="preserve">de 8 puntos (Figuras 1A y 1B), </w:t>
      </w:r>
      <w:r w:rsidR="00F53AE6">
        <w:rPr>
          <w:sz w:val="24"/>
          <w:szCs w:val="24"/>
        </w:rPr>
        <w:t>CTA</w:t>
      </w:r>
      <w:r>
        <w:rPr>
          <w:sz w:val="24"/>
          <w:szCs w:val="24"/>
        </w:rPr>
        <w:t xml:space="preserve"> de cuello y cerebro con vasos intracraneanos permeables </w:t>
      </w:r>
      <w:r>
        <w:rPr>
          <w:sz w:val="24"/>
          <w:szCs w:val="24"/>
        </w:rPr>
        <w:lastRenderedPageBreak/>
        <w:t>(Figuras 1C y 1D), estenosis carotídea derecha significativa.  No se realiza resonancia magnética cerebral difusión/flair por no disponibilidad en urgencia.</w:t>
      </w:r>
    </w:p>
    <w:p w14:paraId="63B646FE" w14:textId="77777777" w:rsidR="00F43155" w:rsidRDefault="00F43155">
      <w:pPr>
        <w:spacing w:after="200" w:line="360" w:lineRule="auto"/>
        <w:jc w:val="both"/>
        <w:rPr>
          <w:sz w:val="24"/>
          <w:szCs w:val="24"/>
        </w:rPr>
      </w:pPr>
      <w:r>
        <w:rPr>
          <w:sz w:val="24"/>
          <w:szCs w:val="24"/>
        </w:rPr>
        <w:t>Con contraindicación de trombolisis según protocolo por tiempo de evolución y sin indicación de trombectomía</w:t>
      </w:r>
      <w:r w:rsidR="0073432D">
        <w:rPr>
          <w:sz w:val="24"/>
          <w:szCs w:val="24"/>
        </w:rPr>
        <w:t xml:space="preserve"> por vasos permeables al angioT</w:t>
      </w:r>
      <w:r>
        <w:rPr>
          <w:sz w:val="24"/>
          <w:szCs w:val="24"/>
        </w:rPr>
        <w:t>C y dada buena funcionalidad previa se decide previo consentimiento informado, trombolisis con TNK 0,25 mg/kg  a pasar en 1 minuto, con presión arterial normal previo a TNK.</w:t>
      </w:r>
    </w:p>
    <w:p w14:paraId="62CE7D20" w14:textId="77777777" w:rsidR="00BE00AE" w:rsidRDefault="00F43155">
      <w:pPr>
        <w:spacing w:after="200" w:line="360" w:lineRule="auto"/>
        <w:jc w:val="both"/>
        <w:rPr>
          <w:sz w:val="24"/>
          <w:szCs w:val="24"/>
        </w:rPr>
      </w:pPr>
      <w:r>
        <w:rPr>
          <w:sz w:val="24"/>
          <w:szCs w:val="24"/>
        </w:rPr>
        <w:t xml:space="preserve">Durante el procedimiento con presión arterial estable, sin eventos adversos e ingresa a unidad de cuidados intermedios (UTI)  para manejo, monitorización y completar estudio. </w:t>
      </w:r>
    </w:p>
    <w:p w14:paraId="26A32252" w14:textId="031986CE" w:rsidR="00BE00AE" w:rsidRDefault="00F43155">
      <w:pPr>
        <w:spacing w:after="200" w:line="360" w:lineRule="auto"/>
        <w:jc w:val="both"/>
        <w:rPr>
          <w:sz w:val="24"/>
          <w:szCs w:val="24"/>
        </w:rPr>
      </w:pPr>
      <w:bookmarkStart w:id="1" w:name="_fll84us7xscx" w:colFirst="0" w:colLast="0"/>
      <w:bookmarkEnd w:id="1"/>
      <w:r>
        <w:rPr>
          <w:sz w:val="24"/>
          <w:szCs w:val="24"/>
        </w:rPr>
        <w:t xml:space="preserve">A las 24 hrs NIHSS </w:t>
      </w:r>
      <w:r w:rsidR="00E47AF0">
        <w:rPr>
          <w:sz w:val="24"/>
          <w:szCs w:val="24"/>
        </w:rPr>
        <w:t xml:space="preserve">es </w:t>
      </w:r>
      <w:r>
        <w:rPr>
          <w:sz w:val="24"/>
          <w:szCs w:val="24"/>
        </w:rPr>
        <w:t xml:space="preserve">de 9 puntos, la TC de cerebro de control destaca pequeña transformación hemorrágica a nivel temporal superior derecho, sin evidencias de lesión isquémica evidente </w:t>
      </w:r>
      <w:r w:rsidR="0073432D">
        <w:rPr>
          <w:sz w:val="24"/>
          <w:szCs w:val="24"/>
        </w:rPr>
        <w:t>(Figura 2A). RM</w:t>
      </w:r>
      <w:r>
        <w:rPr>
          <w:sz w:val="24"/>
          <w:szCs w:val="24"/>
        </w:rPr>
        <w:t xml:space="preserve"> realizada posteriormente destaca AC</w:t>
      </w:r>
      <w:r w:rsidR="0073432D">
        <w:rPr>
          <w:sz w:val="24"/>
          <w:szCs w:val="24"/>
        </w:rPr>
        <w:t xml:space="preserve">V en territorio limítrofe de arteria cerebral media derecha </w:t>
      </w:r>
      <w:r>
        <w:rPr>
          <w:sz w:val="24"/>
          <w:szCs w:val="24"/>
        </w:rPr>
        <w:t>(Figura 2B).</w:t>
      </w:r>
    </w:p>
    <w:p w14:paraId="5B687AA1" w14:textId="17D6303F" w:rsidR="00BE00AE" w:rsidRDefault="00F43155">
      <w:pPr>
        <w:spacing w:after="200" w:line="360" w:lineRule="auto"/>
        <w:ind w:firstLine="720"/>
        <w:jc w:val="both"/>
        <w:rPr>
          <w:sz w:val="24"/>
          <w:szCs w:val="24"/>
        </w:rPr>
      </w:pPr>
      <w:bookmarkStart w:id="2" w:name="_xzoxgv5qvex3" w:colFirst="0" w:colLast="0"/>
      <w:bookmarkEnd w:id="2"/>
      <w:r>
        <w:rPr>
          <w:sz w:val="24"/>
          <w:szCs w:val="24"/>
        </w:rPr>
        <w:t xml:space="preserve">A los 11 días se define alta con NIHSS de 1 punto, Rankin 3,  y agregando estatinas a su terapia de base. Por carótida interna derecha sintomática con 90% de estenosis reingresa para endarterectomía sin incidentes. </w:t>
      </w:r>
    </w:p>
    <w:p w14:paraId="52356055" w14:textId="77777777" w:rsidR="00BE00AE" w:rsidRDefault="00F43155">
      <w:pPr>
        <w:spacing w:after="200" w:line="360" w:lineRule="auto"/>
        <w:jc w:val="both"/>
        <w:rPr>
          <w:sz w:val="24"/>
          <w:szCs w:val="24"/>
        </w:rPr>
      </w:pPr>
      <w:r>
        <w:rPr>
          <w:sz w:val="24"/>
          <w:szCs w:val="24"/>
        </w:rPr>
        <w:t>El paciente/familiar entregó su consentimiento para la publicación del caso clínico</w:t>
      </w:r>
    </w:p>
    <w:p w14:paraId="64BD81A8" w14:textId="77777777" w:rsidR="00BE00AE" w:rsidRDefault="00BE00AE">
      <w:pPr>
        <w:spacing w:after="200" w:line="360" w:lineRule="auto"/>
        <w:jc w:val="both"/>
        <w:rPr>
          <w:sz w:val="24"/>
          <w:szCs w:val="24"/>
        </w:rPr>
      </w:pPr>
    </w:p>
    <w:p w14:paraId="5523EFA2" w14:textId="77777777" w:rsidR="00BE00AE" w:rsidRDefault="00F43155">
      <w:pPr>
        <w:spacing w:after="200" w:line="360" w:lineRule="auto"/>
        <w:jc w:val="both"/>
        <w:rPr>
          <w:sz w:val="24"/>
          <w:szCs w:val="24"/>
        </w:rPr>
      </w:pPr>
      <w:r>
        <w:rPr>
          <w:sz w:val="24"/>
          <w:szCs w:val="24"/>
        </w:rPr>
        <w:t>Discusión</w:t>
      </w:r>
    </w:p>
    <w:p w14:paraId="5EACFF61" w14:textId="77777777" w:rsidR="00BE00AE" w:rsidRDefault="00BE00AE">
      <w:pPr>
        <w:spacing w:line="360" w:lineRule="auto"/>
        <w:jc w:val="both"/>
        <w:rPr>
          <w:sz w:val="24"/>
          <w:szCs w:val="24"/>
        </w:rPr>
      </w:pPr>
    </w:p>
    <w:p w14:paraId="2DCE0ACD" w14:textId="77777777" w:rsidR="00BE00AE" w:rsidRDefault="00F43155">
      <w:pPr>
        <w:spacing w:line="360" w:lineRule="auto"/>
        <w:ind w:firstLine="720"/>
        <w:jc w:val="both"/>
        <w:rPr>
          <w:sz w:val="24"/>
          <w:szCs w:val="24"/>
        </w:rPr>
      </w:pPr>
      <w:r>
        <w:rPr>
          <w:sz w:val="24"/>
          <w:szCs w:val="24"/>
        </w:rPr>
        <w:t>Aproximadamente entre un 5-12% de los ACV isquémicos reciben tratamiento trombolítico a tiempo pero existen condiciones donde el paciente despierta con el déficit siendo difícil determinar el tiempo de evolución, existen estudios que demuestran beneficio de terapia trombolítica en este grupo de pacientes si es posible identificar un área de p</w:t>
      </w:r>
      <w:r w:rsidR="0073432D">
        <w:rPr>
          <w:sz w:val="24"/>
          <w:szCs w:val="24"/>
        </w:rPr>
        <w:t>enumbra significativo con TC/RM</w:t>
      </w:r>
      <w:r>
        <w:rPr>
          <w:sz w:val="24"/>
          <w:szCs w:val="24"/>
        </w:rPr>
        <w:t xml:space="preserve"> perfusión o si existe un m</w:t>
      </w:r>
      <w:r w:rsidR="0073432D">
        <w:rPr>
          <w:sz w:val="24"/>
          <w:szCs w:val="24"/>
        </w:rPr>
        <w:t>ismatch Difusión/FLAIR en la RM</w:t>
      </w:r>
      <w:r w:rsidR="00054B3D">
        <w:rPr>
          <w:sz w:val="24"/>
          <w:szCs w:val="24"/>
        </w:rPr>
        <w:t xml:space="preserve">. </w:t>
      </w:r>
      <w:r w:rsidR="00054B3D" w:rsidRPr="00EA5A82">
        <w:rPr>
          <w:sz w:val="24"/>
          <w:szCs w:val="24"/>
          <w:vertAlign w:val="superscript"/>
        </w:rPr>
        <w:t>(12, 13</w:t>
      </w:r>
      <w:r w:rsidRPr="00EA5A82">
        <w:rPr>
          <w:sz w:val="24"/>
          <w:szCs w:val="24"/>
          <w:vertAlign w:val="superscript"/>
        </w:rPr>
        <w:t>)</w:t>
      </w:r>
    </w:p>
    <w:p w14:paraId="548116CA" w14:textId="77777777" w:rsidR="00BE00AE" w:rsidRDefault="00BE00AE">
      <w:pPr>
        <w:spacing w:line="360" w:lineRule="auto"/>
        <w:jc w:val="both"/>
        <w:rPr>
          <w:sz w:val="24"/>
          <w:szCs w:val="24"/>
        </w:rPr>
      </w:pPr>
    </w:p>
    <w:p w14:paraId="18539C93" w14:textId="14681A54" w:rsidR="00BE00AE" w:rsidRDefault="00F43155" w:rsidP="00D23F3D">
      <w:pPr>
        <w:spacing w:after="200" w:line="360" w:lineRule="auto"/>
        <w:jc w:val="both"/>
        <w:rPr>
          <w:sz w:val="24"/>
          <w:szCs w:val="24"/>
        </w:rPr>
      </w:pPr>
      <w:r w:rsidRPr="00966B3B">
        <w:rPr>
          <w:rFonts w:eastAsia="Arial Unicode MS"/>
          <w:sz w:val="24"/>
          <w:szCs w:val="24"/>
        </w:rPr>
        <w:t>La mayoría de los centros no cuentan con imágenes avanza</w:t>
      </w:r>
      <w:r w:rsidR="0073432D" w:rsidRPr="00966B3B">
        <w:rPr>
          <w:rFonts w:eastAsia="Arial Unicode MS"/>
          <w:sz w:val="24"/>
          <w:szCs w:val="24"/>
        </w:rPr>
        <w:t xml:space="preserve">das por lo que la TC de cerebro con </w:t>
      </w:r>
      <w:r w:rsidRPr="00966B3B">
        <w:rPr>
          <w:rFonts w:eastAsia="Arial Unicode MS"/>
          <w:sz w:val="24"/>
          <w:szCs w:val="24"/>
        </w:rPr>
        <w:t xml:space="preserve"> ASPECTS ≥ 7 y buen estado de colaterales al </w:t>
      </w:r>
      <w:r w:rsidR="00EA5A82">
        <w:rPr>
          <w:rFonts w:eastAsia="Arial Unicode MS"/>
          <w:sz w:val="24"/>
          <w:szCs w:val="24"/>
        </w:rPr>
        <w:t>A</w:t>
      </w:r>
      <w:r w:rsidRPr="00966B3B">
        <w:rPr>
          <w:rFonts w:eastAsia="Arial Unicode MS"/>
          <w:sz w:val="24"/>
          <w:szCs w:val="24"/>
        </w:rPr>
        <w:t xml:space="preserve">TC orientan que hay tejido cerebral que puede ser reperfundido a pesar de estar fuera de la ventana </w:t>
      </w:r>
      <w:r w:rsidRPr="00966B3B">
        <w:rPr>
          <w:rFonts w:eastAsia="Arial Unicode MS"/>
          <w:sz w:val="24"/>
          <w:szCs w:val="24"/>
        </w:rPr>
        <w:lastRenderedPageBreak/>
        <w:t xml:space="preserve">terapéutica. </w:t>
      </w:r>
      <w:r w:rsidR="0038727B" w:rsidRPr="00EA5A82">
        <w:rPr>
          <w:rFonts w:eastAsia="Arial Unicode MS"/>
          <w:sz w:val="24"/>
          <w:szCs w:val="24"/>
          <w:vertAlign w:val="superscript"/>
        </w:rPr>
        <w:t>(</w:t>
      </w:r>
      <w:r w:rsidR="00054B3D" w:rsidRPr="00EA5A82">
        <w:rPr>
          <w:rFonts w:eastAsia="Arial Unicode MS"/>
          <w:sz w:val="24"/>
          <w:szCs w:val="24"/>
          <w:vertAlign w:val="superscript"/>
        </w:rPr>
        <w:t>14, 15, 16)</w:t>
      </w:r>
      <w:r w:rsidR="00EE3394" w:rsidRPr="00EA5A82">
        <w:rPr>
          <w:sz w:val="24"/>
          <w:szCs w:val="24"/>
          <w:vertAlign w:val="superscript"/>
        </w:rPr>
        <w:t>.</w:t>
      </w:r>
      <w:r w:rsidR="00EE3394">
        <w:rPr>
          <w:sz w:val="24"/>
          <w:szCs w:val="24"/>
        </w:rPr>
        <w:t xml:space="preserve"> </w:t>
      </w:r>
      <w:r>
        <w:rPr>
          <w:sz w:val="24"/>
          <w:szCs w:val="24"/>
        </w:rPr>
        <w:t>TNK se ha usado en ventana extendida con beneficios hasta 24 horas desde el inicio de los síntomas, con alta tasa de recanalización y baja tasa de</w:t>
      </w:r>
      <w:r w:rsidR="0038727B">
        <w:rPr>
          <w:sz w:val="24"/>
          <w:szCs w:val="24"/>
        </w:rPr>
        <w:t xml:space="preserve"> complicaciones hemorrágicas </w:t>
      </w:r>
      <w:r w:rsidR="0038727B" w:rsidRPr="00EA5A82">
        <w:rPr>
          <w:sz w:val="24"/>
          <w:szCs w:val="24"/>
          <w:vertAlign w:val="superscript"/>
        </w:rPr>
        <w:t>(17</w:t>
      </w:r>
      <w:r w:rsidRPr="00EA5A82">
        <w:rPr>
          <w:sz w:val="24"/>
          <w:szCs w:val="24"/>
          <w:vertAlign w:val="superscript"/>
        </w:rPr>
        <w:t>)</w:t>
      </w:r>
      <w:r>
        <w:rPr>
          <w:sz w:val="24"/>
          <w:szCs w:val="24"/>
        </w:rPr>
        <w:t xml:space="preserve"> </w:t>
      </w:r>
    </w:p>
    <w:p w14:paraId="4CBA051C" w14:textId="77777777" w:rsidR="00E83BA5" w:rsidRDefault="00F43155">
      <w:pPr>
        <w:spacing w:after="200" w:line="360" w:lineRule="auto"/>
        <w:jc w:val="both"/>
        <w:rPr>
          <w:sz w:val="24"/>
          <w:szCs w:val="24"/>
        </w:rPr>
      </w:pPr>
      <w:r>
        <w:rPr>
          <w:sz w:val="24"/>
          <w:szCs w:val="24"/>
        </w:rPr>
        <w:t>Nuevos estudios intentan demostrar que es seguro usar TNK en pacientes con ACV isquémico agudo, incluso con menor transformación hemorrágica y con la ventaja principal de su facilidad de administración, requiriendo solo un bolo endovenoso. (TASTE [ACTRN12613000243718], ATTEST2 [NCT02814409], y NORTEST2 [NCT03854500]).</w:t>
      </w:r>
      <w:r w:rsidR="007D1E16">
        <w:rPr>
          <w:sz w:val="24"/>
          <w:szCs w:val="24"/>
        </w:rPr>
        <w:t xml:space="preserve"> </w:t>
      </w:r>
    </w:p>
    <w:p w14:paraId="5AAA73B1" w14:textId="1762D692" w:rsidR="00BE00AE" w:rsidRDefault="007D1E16">
      <w:pPr>
        <w:spacing w:after="200" w:line="360" w:lineRule="auto"/>
        <w:jc w:val="both"/>
        <w:rPr>
          <w:sz w:val="24"/>
          <w:szCs w:val="24"/>
        </w:rPr>
      </w:pPr>
      <w:r w:rsidRPr="00090318">
        <w:rPr>
          <w:sz w:val="24"/>
          <w:szCs w:val="24"/>
          <w:highlight w:val="yellow"/>
        </w:rPr>
        <w:t>Falta eviden</w:t>
      </w:r>
      <w:r w:rsidR="00E83BA5" w:rsidRPr="00090318">
        <w:rPr>
          <w:sz w:val="24"/>
          <w:szCs w:val="24"/>
          <w:highlight w:val="yellow"/>
        </w:rPr>
        <w:t>cia para dilucidar</w:t>
      </w:r>
      <w:r w:rsidR="00E47AF0" w:rsidRPr="00090318">
        <w:rPr>
          <w:sz w:val="24"/>
          <w:szCs w:val="24"/>
          <w:highlight w:val="yellow"/>
        </w:rPr>
        <w:t xml:space="preserve"> si ASPECTS es una herramienta</w:t>
      </w:r>
      <w:r w:rsidR="003A58A5" w:rsidRPr="00090318">
        <w:rPr>
          <w:sz w:val="24"/>
          <w:szCs w:val="24"/>
          <w:highlight w:val="yellow"/>
        </w:rPr>
        <w:t xml:space="preserve"> </w:t>
      </w:r>
      <w:r w:rsidR="00E83BA5" w:rsidRPr="00090318">
        <w:rPr>
          <w:sz w:val="24"/>
          <w:szCs w:val="24"/>
          <w:highlight w:val="yellow"/>
        </w:rPr>
        <w:t xml:space="preserve">alternativa </w:t>
      </w:r>
      <w:r w:rsidR="003A58A5" w:rsidRPr="00090318">
        <w:rPr>
          <w:sz w:val="24"/>
          <w:szCs w:val="24"/>
          <w:highlight w:val="yellow"/>
        </w:rPr>
        <w:t>en pacientes con ACV del desper</w:t>
      </w:r>
      <w:r w:rsidR="00E83BA5" w:rsidRPr="00090318">
        <w:rPr>
          <w:sz w:val="24"/>
          <w:szCs w:val="24"/>
          <w:highlight w:val="yellow"/>
        </w:rPr>
        <w:t>tar si no se cuenta con neuroimá</w:t>
      </w:r>
      <w:r w:rsidR="003A58A5" w:rsidRPr="00090318">
        <w:rPr>
          <w:sz w:val="24"/>
          <w:szCs w:val="24"/>
          <w:highlight w:val="yellow"/>
        </w:rPr>
        <w:t>genes avanzadas.</w:t>
      </w:r>
    </w:p>
    <w:p w14:paraId="5825214B" w14:textId="541AE312" w:rsidR="00BE00AE" w:rsidRDefault="00F43155">
      <w:pPr>
        <w:spacing w:after="200" w:line="360" w:lineRule="auto"/>
        <w:jc w:val="both"/>
        <w:rPr>
          <w:sz w:val="24"/>
          <w:szCs w:val="24"/>
        </w:rPr>
      </w:pPr>
      <w:r>
        <w:rPr>
          <w:sz w:val="24"/>
          <w:szCs w:val="24"/>
        </w:rPr>
        <w:t xml:space="preserve">Existe evidencia de que los pacientes con ACV del despertar seleccionados por imágenes </w:t>
      </w:r>
      <w:r w:rsidR="00B36A73">
        <w:rPr>
          <w:sz w:val="24"/>
          <w:szCs w:val="24"/>
        </w:rPr>
        <w:t xml:space="preserve">avanzadas </w:t>
      </w:r>
      <w:r>
        <w:rPr>
          <w:sz w:val="24"/>
          <w:szCs w:val="24"/>
        </w:rPr>
        <w:t>podrían beneficiarse de IVT con TNK, se requiere confirmación por ensayos co</w:t>
      </w:r>
      <w:r w:rsidR="0073432D">
        <w:rPr>
          <w:sz w:val="24"/>
          <w:szCs w:val="24"/>
        </w:rPr>
        <w:t>ntrolados aleatorios en curso (</w:t>
      </w:r>
      <w:r>
        <w:rPr>
          <w:sz w:val="24"/>
          <w:szCs w:val="24"/>
        </w:rPr>
        <w:t>TWIST [</w:t>
      </w:r>
      <w:r>
        <w:rPr>
          <w:sz w:val="24"/>
          <w:szCs w:val="24"/>
          <w:highlight w:val="white"/>
        </w:rPr>
        <w:t>NCT03181360</w:t>
      </w:r>
      <w:r>
        <w:rPr>
          <w:sz w:val="24"/>
          <w:szCs w:val="24"/>
        </w:rPr>
        <w:t>]), nuestro caso clínico está en línea con esa hipótesis</w:t>
      </w:r>
      <w:r w:rsidR="0073432D">
        <w:rPr>
          <w:sz w:val="24"/>
          <w:szCs w:val="24"/>
        </w:rPr>
        <w:t>.</w:t>
      </w:r>
    </w:p>
    <w:p w14:paraId="237B2BD7" w14:textId="77777777" w:rsidR="00BE00AE" w:rsidRDefault="00BE00AE">
      <w:pPr>
        <w:spacing w:line="360" w:lineRule="auto"/>
        <w:rPr>
          <w:sz w:val="24"/>
          <w:szCs w:val="24"/>
        </w:rPr>
      </w:pPr>
    </w:p>
    <w:p w14:paraId="474D98AB" w14:textId="77777777" w:rsidR="003C40C8" w:rsidRPr="00D86B24" w:rsidRDefault="003C40C8">
      <w:pPr>
        <w:rPr>
          <w:sz w:val="24"/>
          <w:szCs w:val="24"/>
          <w:lang w:val="es-CL"/>
        </w:rPr>
      </w:pPr>
      <w:r w:rsidRPr="00D86B24">
        <w:rPr>
          <w:sz w:val="24"/>
          <w:szCs w:val="24"/>
          <w:lang w:val="es-CL"/>
        </w:rPr>
        <w:br w:type="page"/>
      </w:r>
    </w:p>
    <w:p w14:paraId="06E6AF7E" w14:textId="77777777" w:rsidR="00BE00AE" w:rsidRPr="007B3D00" w:rsidRDefault="00F43155">
      <w:pPr>
        <w:spacing w:line="360" w:lineRule="auto"/>
        <w:rPr>
          <w:sz w:val="24"/>
          <w:szCs w:val="24"/>
          <w:lang w:val="en-US"/>
        </w:rPr>
      </w:pPr>
      <w:r w:rsidRPr="007B3D00">
        <w:rPr>
          <w:sz w:val="24"/>
          <w:szCs w:val="24"/>
          <w:lang w:val="en-US"/>
        </w:rPr>
        <w:lastRenderedPageBreak/>
        <w:t>Referencias bibliográficas:</w:t>
      </w:r>
    </w:p>
    <w:p w14:paraId="5AE7204E" w14:textId="77777777" w:rsidR="00BE00AE" w:rsidRPr="007B3D00" w:rsidRDefault="00BE00AE">
      <w:pPr>
        <w:spacing w:line="360" w:lineRule="auto"/>
        <w:rPr>
          <w:sz w:val="24"/>
          <w:szCs w:val="24"/>
          <w:lang w:val="en-US"/>
        </w:rPr>
      </w:pPr>
    </w:p>
    <w:p w14:paraId="6FCF3EA1" w14:textId="77777777" w:rsidR="00BE00AE" w:rsidRDefault="00F43155" w:rsidP="008A62C4">
      <w:pPr>
        <w:spacing w:line="360" w:lineRule="auto"/>
        <w:jc w:val="both"/>
        <w:rPr>
          <w:sz w:val="24"/>
          <w:szCs w:val="24"/>
          <w:lang w:val="en-US"/>
        </w:rPr>
      </w:pPr>
      <w:r w:rsidRPr="007B3D00">
        <w:rPr>
          <w:sz w:val="24"/>
          <w:szCs w:val="24"/>
          <w:lang w:val="en-US"/>
        </w:rPr>
        <w:t xml:space="preserve">1.- Rha JH and Saver JL. The impact of recanalization on ischemic stroke outcome: a meta-analysis. </w:t>
      </w:r>
      <w:r w:rsidRPr="009E6E0B">
        <w:rPr>
          <w:i/>
          <w:sz w:val="24"/>
          <w:szCs w:val="24"/>
          <w:lang w:val="en-US"/>
        </w:rPr>
        <w:t>Stroke</w:t>
      </w:r>
      <w:r w:rsidRPr="007B3D00">
        <w:rPr>
          <w:sz w:val="24"/>
          <w:szCs w:val="24"/>
          <w:lang w:val="en-US"/>
        </w:rPr>
        <w:t xml:space="preserve"> </w:t>
      </w:r>
      <w:r w:rsidR="009E44F2" w:rsidRPr="009E44F2">
        <w:rPr>
          <w:sz w:val="24"/>
          <w:szCs w:val="24"/>
          <w:lang w:val="en-US"/>
        </w:rPr>
        <w:t>2007 Mar;</w:t>
      </w:r>
      <w:r w:rsidR="009E44F2">
        <w:rPr>
          <w:sz w:val="24"/>
          <w:szCs w:val="24"/>
          <w:lang w:val="en-US"/>
        </w:rPr>
        <w:t xml:space="preserve"> </w:t>
      </w:r>
      <w:r w:rsidR="009E44F2" w:rsidRPr="009E44F2">
        <w:rPr>
          <w:sz w:val="24"/>
          <w:szCs w:val="24"/>
          <w:lang w:val="en-US"/>
        </w:rPr>
        <w:t>38(3):967-</w:t>
      </w:r>
      <w:r w:rsidR="009E44F2">
        <w:rPr>
          <w:sz w:val="24"/>
          <w:szCs w:val="24"/>
          <w:lang w:val="en-US"/>
        </w:rPr>
        <w:t>9</w:t>
      </w:r>
      <w:r w:rsidR="009E44F2" w:rsidRPr="009E44F2">
        <w:rPr>
          <w:sz w:val="24"/>
          <w:szCs w:val="24"/>
          <w:lang w:val="en-US"/>
        </w:rPr>
        <w:t>73.</w:t>
      </w:r>
    </w:p>
    <w:p w14:paraId="7CA28EB6" w14:textId="77777777" w:rsidR="009E6E0B" w:rsidRPr="007B3D00" w:rsidRDefault="009E6E0B" w:rsidP="008A62C4">
      <w:pPr>
        <w:spacing w:line="360" w:lineRule="auto"/>
        <w:jc w:val="both"/>
        <w:rPr>
          <w:sz w:val="24"/>
          <w:szCs w:val="24"/>
          <w:lang w:val="en-US"/>
        </w:rPr>
      </w:pPr>
    </w:p>
    <w:p w14:paraId="0349CF70" w14:textId="77777777" w:rsidR="00BE00AE" w:rsidRDefault="00F43155" w:rsidP="008A62C4">
      <w:pPr>
        <w:spacing w:line="360" w:lineRule="auto"/>
        <w:jc w:val="both"/>
        <w:rPr>
          <w:sz w:val="24"/>
          <w:szCs w:val="24"/>
          <w:lang w:val="en-US"/>
        </w:rPr>
      </w:pPr>
      <w:r w:rsidRPr="007B3D00">
        <w:rPr>
          <w:sz w:val="24"/>
          <w:szCs w:val="24"/>
          <w:lang w:val="en-US"/>
        </w:rPr>
        <w:t>2.-</w:t>
      </w:r>
      <w:r w:rsidR="00EC6DAD">
        <w:rPr>
          <w:sz w:val="24"/>
          <w:szCs w:val="24"/>
          <w:lang w:val="en-US"/>
        </w:rPr>
        <w:t xml:space="preserve"> </w:t>
      </w:r>
      <w:r w:rsidR="009E6E0B">
        <w:rPr>
          <w:sz w:val="24"/>
          <w:szCs w:val="24"/>
          <w:lang w:val="en-US"/>
        </w:rPr>
        <w:t>Del Zoppo GJ</w:t>
      </w:r>
      <w:r w:rsidR="00EC6DAD" w:rsidRPr="00EC6DAD">
        <w:rPr>
          <w:sz w:val="24"/>
          <w:szCs w:val="24"/>
          <w:lang w:val="en-US"/>
        </w:rPr>
        <w:t>, Poeck K, Pessin MS, Wolpert SM, Furlan AJ, Ferbert A,</w:t>
      </w:r>
      <w:r w:rsidRPr="007B3D00">
        <w:rPr>
          <w:sz w:val="24"/>
          <w:szCs w:val="24"/>
          <w:lang w:val="en-US"/>
        </w:rPr>
        <w:t xml:space="preserve"> et al. Recombinant tissue plasminogen activator in</w:t>
      </w:r>
      <w:r w:rsidR="0073432D" w:rsidRPr="007B3D00">
        <w:rPr>
          <w:sz w:val="24"/>
          <w:szCs w:val="24"/>
          <w:lang w:val="en-US"/>
        </w:rPr>
        <w:t xml:space="preserve"> </w:t>
      </w:r>
      <w:r w:rsidRPr="007B3D00">
        <w:rPr>
          <w:sz w:val="24"/>
          <w:szCs w:val="24"/>
          <w:lang w:val="en-US"/>
        </w:rPr>
        <w:t xml:space="preserve">acute thrombotic and embolic stroke. </w:t>
      </w:r>
      <w:r w:rsidRPr="008A62C4">
        <w:rPr>
          <w:i/>
          <w:sz w:val="24"/>
          <w:szCs w:val="24"/>
          <w:lang w:val="en-US"/>
        </w:rPr>
        <w:t>Ann Neurol</w:t>
      </w:r>
      <w:r w:rsidRPr="007B3D00">
        <w:rPr>
          <w:sz w:val="24"/>
          <w:szCs w:val="24"/>
          <w:lang w:val="en-US"/>
        </w:rPr>
        <w:t xml:space="preserve"> </w:t>
      </w:r>
      <w:r w:rsidR="009E44F2" w:rsidRPr="009E44F2">
        <w:rPr>
          <w:sz w:val="24"/>
          <w:szCs w:val="24"/>
          <w:lang w:val="en-US"/>
        </w:rPr>
        <w:t>1992 Jul;32(1):78-86</w:t>
      </w:r>
    </w:p>
    <w:p w14:paraId="41A79DC8" w14:textId="77777777" w:rsidR="009E6E0B" w:rsidRPr="007B3D00" w:rsidRDefault="009E6E0B" w:rsidP="008A62C4">
      <w:pPr>
        <w:spacing w:line="360" w:lineRule="auto"/>
        <w:jc w:val="both"/>
        <w:rPr>
          <w:sz w:val="24"/>
          <w:szCs w:val="24"/>
          <w:lang w:val="en-US"/>
        </w:rPr>
      </w:pPr>
    </w:p>
    <w:p w14:paraId="565CCDEF" w14:textId="77777777" w:rsidR="00BE00AE" w:rsidRDefault="00F43155" w:rsidP="008A62C4">
      <w:pPr>
        <w:spacing w:line="360" w:lineRule="auto"/>
        <w:jc w:val="both"/>
        <w:rPr>
          <w:sz w:val="24"/>
          <w:szCs w:val="24"/>
          <w:lang w:val="en-US"/>
        </w:rPr>
      </w:pPr>
      <w:r w:rsidRPr="007B3D00">
        <w:rPr>
          <w:sz w:val="24"/>
          <w:szCs w:val="24"/>
          <w:lang w:val="en-US"/>
        </w:rPr>
        <w:t xml:space="preserve">3.- </w:t>
      </w:r>
      <w:r w:rsidR="00EC6DAD" w:rsidRPr="00EC6DAD">
        <w:rPr>
          <w:sz w:val="24"/>
          <w:szCs w:val="24"/>
          <w:lang w:val="en-US"/>
        </w:rPr>
        <w:t>Lees KR, Bluhmki E, von Kummer R, Brott TG, Toni D, Grotta JC</w:t>
      </w:r>
      <w:r w:rsidR="00EC6DAD">
        <w:rPr>
          <w:sz w:val="24"/>
          <w:szCs w:val="24"/>
          <w:lang w:val="en-US"/>
        </w:rPr>
        <w:t xml:space="preserve"> </w:t>
      </w:r>
      <w:r w:rsidRPr="007B3D00">
        <w:rPr>
          <w:sz w:val="24"/>
          <w:szCs w:val="24"/>
          <w:lang w:val="en-US"/>
        </w:rPr>
        <w:t>et al. Time to treatment with intravenous</w:t>
      </w:r>
      <w:r w:rsidR="00EC6DAD">
        <w:rPr>
          <w:sz w:val="24"/>
          <w:szCs w:val="24"/>
          <w:lang w:val="en-US"/>
        </w:rPr>
        <w:t xml:space="preserve"> </w:t>
      </w:r>
      <w:r w:rsidRPr="007B3D00">
        <w:rPr>
          <w:sz w:val="24"/>
          <w:szCs w:val="24"/>
          <w:lang w:val="en-US"/>
        </w:rPr>
        <w:t>alteplase and outcome in stroke: an updated pooled analysis of ECASS, ATLANTIS</w:t>
      </w:r>
      <w:r w:rsidR="00EC6DAD">
        <w:rPr>
          <w:sz w:val="24"/>
          <w:szCs w:val="24"/>
          <w:lang w:val="en-US"/>
        </w:rPr>
        <w:t xml:space="preserve">  </w:t>
      </w:r>
      <w:r w:rsidRPr="007B3D00">
        <w:rPr>
          <w:sz w:val="24"/>
          <w:szCs w:val="24"/>
          <w:lang w:val="en-US"/>
        </w:rPr>
        <w:t xml:space="preserve">,NINDS, and EPITHET trials. </w:t>
      </w:r>
      <w:r w:rsidRPr="008A62C4">
        <w:rPr>
          <w:i/>
          <w:sz w:val="24"/>
          <w:szCs w:val="24"/>
          <w:lang w:val="en-US"/>
        </w:rPr>
        <w:t>Lancet</w:t>
      </w:r>
      <w:r w:rsidRPr="007B3D00">
        <w:rPr>
          <w:sz w:val="24"/>
          <w:szCs w:val="24"/>
          <w:lang w:val="en-US"/>
        </w:rPr>
        <w:t xml:space="preserve"> </w:t>
      </w:r>
      <w:r w:rsidR="00EC6DAD" w:rsidRPr="00EC6DAD">
        <w:rPr>
          <w:sz w:val="24"/>
          <w:szCs w:val="24"/>
          <w:lang w:val="en-US"/>
        </w:rPr>
        <w:t>2010 May 15;</w:t>
      </w:r>
      <w:r w:rsidR="00EC6DAD">
        <w:rPr>
          <w:sz w:val="24"/>
          <w:szCs w:val="24"/>
          <w:lang w:val="en-US"/>
        </w:rPr>
        <w:t xml:space="preserve"> </w:t>
      </w:r>
      <w:r w:rsidR="00EC6DAD" w:rsidRPr="00EC6DAD">
        <w:rPr>
          <w:sz w:val="24"/>
          <w:szCs w:val="24"/>
          <w:lang w:val="en-US"/>
        </w:rPr>
        <w:t>375(9727):1695-</w:t>
      </w:r>
      <w:r w:rsidR="00EC6DAD">
        <w:rPr>
          <w:sz w:val="24"/>
          <w:szCs w:val="24"/>
          <w:lang w:val="en-US"/>
        </w:rPr>
        <w:t>1</w:t>
      </w:r>
      <w:r w:rsidR="00EC6DAD" w:rsidRPr="00EC6DAD">
        <w:rPr>
          <w:sz w:val="24"/>
          <w:szCs w:val="24"/>
          <w:lang w:val="en-US"/>
        </w:rPr>
        <w:t>703</w:t>
      </w:r>
    </w:p>
    <w:p w14:paraId="41553738" w14:textId="77777777" w:rsidR="00EC6DAD" w:rsidRPr="007B3D00" w:rsidRDefault="00EC6DAD" w:rsidP="008A62C4">
      <w:pPr>
        <w:spacing w:line="360" w:lineRule="auto"/>
        <w:jc w:val="both"/>
        <w:rPr>
          <w:sz w:val="24"/>
          <w:szCs w:val="24"/>
          <w:lang w:val="en-US"/>
        </w:rPr>
      </w:pPr>
    </w:p>
    <w:p w14:paraId="7D3440AC" w14:textId="77777777" w:rsidR="00BE00AE" w:rsidRPr="007B3D00" w:rsidRDefault="00F43155" w:rsidP="008A62C4">
      <w:pPr>
        <w:spacing w:line="360" w:lineRule="auto"/>
        <w:jc w:val="both"/>
        <w:rPr>
          <w:sz w:val="24"/>
          <w:szCs w:val="24"/>
          <w:lang w:val="en-US"/>
        </w:rPr>
      </w:pPr>
      <w:r w:rsidRPr="007B3D00">
        <w:rPr>
          <w:sz w:val="24"/>
          <w:szCs w:val="24"/>
          <w:lang w:val="en-US"/>
        </w:rPr>
        <w:t xml:space="preserve">4.- </w:t>
      </w:r>
      <w:r w:rsidR="009E44F2" w:rsidRPr="009E44F2">
        <w:rPr>
          <w:sz w:val="24"/>
          <w:szCs w:val="24"/>
          <w:lang w:val="en-US"/>
        </w:rPr>
        <w:t>Powers WJ, Rabinstein AA, Ackerson T, Adeoye OM, Bambakidis NC, Becker K,</w:t>
      </w:r>
      <w:r w:rsidRPr="007B3D00">
        <w:rPr>
          <w:sz w:val="24"/>
          <w:szCs w:val="24"/>
          <w:lang w:val="en-US"/>
        </w:rPr>
        <w:t xml:space="preserve"> et al. Guidelines for the Early Management of Patients With Acute Ischemic Stroke: 2019 Update to the 2018 Guidelines for the Early Management of Acute Ischemic Stroke: A Guideline for Healthcare Professionals From the American Heart Association/American Stroke </w:t>
      </w:r>
      <w:r w:rsidR="009E44F2">
        <w:rPr>
          <w:sz w:val="24"/>
          <w:szCs w:val="24"/>
          <w:lang w:val="en-US"/>
        </w:rPr>
        <w:t xml:space="preserve">Association. </w:t>
      </w:r>
      <w:r w:rsidR="009E44F2" w:rsidRPr="008A62C4">
        <w:rPr>
          <w:i/>
          <w:sz w:val="24"/>
          <w:szCs w:val="24"/>
          <w:lang w:val="en-US"/>
        </w:rPr>
        <w:t xml:space="preserve">Stroke </w:t>
      </w:r>
      <w:r w:rsidR="009E44F2">
        <w:rPr>
          <w:sz w:val="24"/>
          <w:szCs w:val="24"/>
          <w:lang w:val="en-US"/>
        </w:rPr>
        <w:t xml:space="preserve">2019; </w:t>
      </w:r>
      <w:r w:rsidR="009E44F2" w:rsidRPr="009E44F2">
        <w:rPr>
          <w:sz w:val="24"/>
          <w:szCs w:val="24"/>
          <w:lang w:val="en-US"/>
        </w:rPr>
        <w:t>50(12):e344-e418</w:t>
      </w:r>
    </w:p>
    <w:p w14:paraId="58A204D0" w14:textId="77777777" w:rsidR="00BE00AE" w:rsidRPr="0038727B" w:rsidRDefault="00BE00AE" w:rsidP="008A62C4">
      <w:pPr>
        <w:spacing w:line="360" w:lineRule="auto"/>
        <w:jc w:val="both"/>
        <w:rPr>
          <w:sz w:val="24"/>
          <w:szCs w:val="24"/>
          <w:lang w:val="en-US"/>
        </w:rPr>
      </w:pPr>
    </w:p>
    <w:p w14:paraId="5A9F82FE" w14:textId="0ED5648B" w:rsidR="00BE00AE" w:rsidRDefault="00334686" w:rsidP="008A62C4">
      <w:pPr>
        <w:spacing w:line="360" w:lineRule="auto"/>
        <w:jc w:val="both"/>
        <w:rPr>
          <w:sz w:val="24"/>
          <w:szCs w:val="24"/>
          <w:lang w:val="en-US"/>
        </w:rPr>
      </w:pPr>
      <w:r w:rsidRPr="0038727B">
        <w:rPr>
          <w:sz w:val="24"/>
          <w:szCs w:val="24"/>
          <w:lang w:val="en-US"/>
        </w:rPr>
        <w:t>5</w:t>
      </w:r>
      <w:r w:rsidR="00E47AF0">
        <w:rPr>
          <w:sz w:val="24"/>
          <w:szCs w:val="24"/>
          <w:lang w:val="en-US"/>
        </w:rPr>
        <w:t>.</w:t>
      </w:r>
      <w:r w:rsidR="00F43155" w:rsidRPr="0038727B">
        <w:rPr>
          <w:sz w:val="24"/>
          <w:szCs w:val="24"/>
          <w:lang w:val="en-US"/>
        </w:rPr>
        <w:t>-</w:t>
      </w:r>
      <w:r w:rsidR="003A675C" w:rsidRPr="00D86B24">
        <w:rPr>
          <w:lang w:val="en-US"/>
        </w:rPr>
        <w:t xml:space="preserve"> </w:t>
      </w:r>
      <w:r w:rsidR="003A675C">
        <w:rPr>
          <w:sz w:val="24"/>
          <w:szCs w:val="24"/>
          <w:lang w:val="en-US"/>
        </w:rPr>
        <w:t>Goyal M</w:t>
      </w:r>
      <w:r w:rsidR="003A675C" w:rsidRPr="003A675C">
        <w:rPr>
          <w:sz w:val="24"/>
          <w:szCs w:val="24"/>
          <w:lang w:val="en-US"/>
        </w:rPr>
        <w:t>, Demchuk AM, Menon BK, Eesa M, Rempel JL, Thornton J</w:t>
      </w:r>
      <w:r w:rsidR="003A675C">
        <w:rPr>
          <w:sz w:val="24"/>
          <w:szCs w:val="24"/>
          <w:lang w:val="en-US"/>
        </w:rPr>
        <w:t xml:space="preserve"> </w:t>
      </w:r>
      <w:r w:rsidR="00F43155" w:rsidRPr="0038727B">
        <w:rPr>
          <w:sz w:val="24"/>
          <w:szCs w:val="24"/>
          <w:lang w:val="en-US"/>
        </w:rPr>
        <w:t>, et al. Randomized assessment of rapid</w:t>
      </w:r>
      <w:r w:rsidR="003A675C">
        <w:rPr>
          <w:sz w:val="24"/>
          <w:szCs w:val="24"/>
          <w:lang w:val="en-US"/>
        </w:rPr>
        <w:t xml:space="preserve"> </w:t>
      </w:r>
      <w:r w:rsidR="00F43155" w:rsidRPr="0038727B">
        <w:rPr>
          <w:sz w:val="24"/>
          <w:szCs w:val="24"/>
          <w:lang w:val="en-US"/>
        </w:rPr>
        <w:t xml:space="preserve">endovascular treatment of ischemic stroke. </w:t>
      </w:r>
      <w:r w:rsidR="00F43155" w:rsidRPr="003A675C">
        <w:rPr>
          <w:i/>
          <w:sz w:val="24"/>
          <w:szCs w:val="24"/>
          <w:lang w:val="en-US"/>
        </w:rPr>
        <w:t>N Engl J Med</w:t>
      </w:r>
      <w:r w:rsidR="00F43155" w:rsidRPr="0038727B">
        <w:rPr>
          <w:sz w:val="24"/>
          <w:szCs w:val="24"/>
          <w:lang w:val="en-US"/>
        </w:rPr>
        <w:t xml:space="preserve"> </w:t>
      </w:r>
      <w:r w:rsidR="003A675C" w:rsidRPr="003A675C">
        <w:rPr>
          <w:sz w:val="24"/>
          <w:szCs w:val="24"/>
          <w:lang w:val="en-US"/>
        </w:rPr>
        <w:t>2015 Mar 12;372(11):1019-30</w:t>
      </w:r>
      <w:r w:rsidR="00F43155" w:rsidRPr="0038727B">
        <w:rPr>
          <w:sz w:val="24"/>
          <w:szCs w:val="24"/>
          <w:lang w:val="en-US"/>
        </w:rPr>
        <w:t>.</w:t>
      </w:r>
    </w:p>
    <w:p w14:paraId="1F2A8C05" w14:textId="2D9BFA8A" w:rsidR="00BE00AE" w:rsidRPr="0038727B" w:rsidRDefault="00BE00AE" w:rsidP="008A62C4">
      <w:pPr>
        <w:spacing w:line="360" w:lineRule="auto"/>
        <w:jc w:val="both"/>
        <w:rPr>
          <w:sz w:val="24"/>
          <w:szCs w:val="24"/>
          <w:lang w:val="en-US"/>
        </w:rPr>
      </w:pPr>
    </w:p>
    <w:p w14:paraId="3E4A7163" w14:textId="2B7ED35B" w:rsidR="00BE00AE" w:rsidRPr="007B3D00" w:rsidRDefault="00E47AF0" w:rsidP="008A62C4">
      <w:pPr>
        <w:spacing w:before="240" w:after="240" w:line="360" w:lineRule="auto"/>
        <w:jc w:val="both"/>
        <w:rPr>
          <w:sz w:val="24"/>
          <w:szCs w:val="24"/>
          <w:lang w:val="en-US"/>
        </w:rPr>
      </w:pPr>
      <w:r>
        <w:rPr>
          <w:sz w:val="24"/>
          <w:szCs w:val="24"/>
          <w:lang w:val="en-US"/>
        </w:rPr>
        <w:t xml:space="preserve"> 6</w:t>
      </w:r>
      <w:r w:rsidR="0038727B" w:rsidRPr="0038727B">
        <w:rPr>
          <w:sz w:val="24"/>
          <w:szCs w:val="24"/>
          <w:lang w:val="en-US"/>
        </w:rPr>
        <w:t>.</w:t>
      </w:r>
      <w:r w:rsidR="001C0257">
        <w:rPr>
          <w:sz w:val="24"/>
          <w:szCs w:val="24"/>
          <w:lang w:val="en-US"/>
        </w:rPr>
        <w:t>-</w:t>
      </w:r>
      <w:r>
        <w:rPr>
          <w:sz w:val="24"/>
          <w:szCs w:val="24"/>
          <w:lang w:val="en-US"/>
        </w:rPr>
        <w:t xml:space="preserve"> </w:t>
      </w:r>
      <w:r w:rsidR="001C0257">
        <w:rPr>
          <w:sz w:val="24"/>
          <w:szCs w:val="24"/>
          <w:lang w:val="en-US"/>
        </w:rPr>
        <w:t>Burgos AM and Saver J</w:t>
      </w:r>
      <w:r w:rsidR="00F43155" w:rsidRPr="0038727B">
        <w:rPr>
          <w:sz w:val="24"/>
          <w:szCs w:val="24"/>
          <w:lang w:val="en-US"/>
        </w:rPr>
        <w:t xml:space="preserve">L. Evidence that Tenecteplase Is Noninferior </w:t>
      </w:r>
      <w:r w:rsidR="00F43155" w:rsidRPr="007B3D00">
        <w:rPr>
          <w:sz w:val="24"/>
          <w:szCs w:val="24"/>
          <w:lang w:val="en-US"/>
        </w:rPr>
        <w:t xml:space="preserve">to Alteplase for Acute Ischemic Stroke: Meta-Analysis of 5 Randomized Trials. </w:t>
      </w:r>
      <w:r w:rsidR="00F43155" w:rsidRPr="007B3D00">
        <w:rPr>
          <w:i/>
          <w:sz w:val="24"/>
          <w:szCs w:val="24"/>
          <w:lang w:val="en-US"/>
        </w:rPr>
        <w:t>Stroke</w:t>
      </w:r>
      <w:r w:rsidR="008A62C4">
        <w:rPr>
          <w:sz w:val="24"/>
          <w:szCs w:val="24"/>
          <w:lang w:val="en-US"/>
        </w:rPr>
        <w:t xml:space="preserve">, </w:t>
      </w:r>
      <w:r w:rsidR="00F43155" w:rsidRPr="007B3D00">
        <w:rPr>
          <w:sz w:val="24"/>
          <w:szCs w:val="24"/>
          <w:lang w:val="en-US"/>
        </w:rPr>
        <w:t>2019;</w:t>
      </w:r>
      <w:r w:rsidR="00F43155" w:rsidRPr="007B3D00">
        <w:rPr>
          <w:i/>
          <w:sz w:val="24"/>
          <w:szCs w:val="24"/>
          <w:lang w:val="en-US"/>
        </w:rPr>
        <w:t>50</w:t>
      </w:r>
      <w:r w:rsidR="008A62C4">
        <w:rPr>
          <w:i/>
          <w:sz w:val="24"/>
          <w:szCs w:val="24"/>
          <w:lang w:val="en-US"/>
        </w:rPr>
        <w:t xml:space="preserve"> </w:t>
      </w:r>
      <w:r w:rsidR="00F43155" w:rsidRPr="007B3D00">
        <w:rPr>
          <w:sz w:val="24"/>
          <w:szCs w:val="24"/>
          <w:lang w:val="en-US"/>
        </w:rPr>
        <w:t xml:space="preserve">(8), 2156–2162. </w:t>
      </w:r>
    </w:p>
    <w:p w14:paraId="48ECA713" w14:textId="06C6548D" w:rsidR="00BE00AE" w:rsidRDefault="00E47AF0" w:rsidP="008A62C4">
      <w:pPr>
        <w:spacing w:line="360" w:lineRule="auto"/>
        <w:jc w:val="both"/>
        <w:rPr>
          <w:sz w:val="24"/>
          <w:szCs w:val="24"/>
          <w:lang w:val="en-US"/>
        </w:rPr>
      </w:pPr>
      <w:r>
        <w:rPr>
          <w:sz w:val="24"/>
          <w:szCs w:val="24"/>
          <w:lang w:val="en-US"/>
        </w:rPr>
        <w:t>7.</w:t>
      </w:r>
      <w:r w:rsidR="00F43155" w:rsidRPr="007B3D00">
        <w:rPr>
          <w:sz w:val="24"/>
          <w:szCs w:val="24"/>
          <w:lang w:val="en-US"/>
        </w:rPr>
        <w:t xml:space="preserve">- </w:t>
      </w:r>
      <w:r w:rsidR="00990632" w:rsidRPr="00990632">
        <w:rPr>
          <w:sz w:val="24"/>
          <w:szCs w:val="24"/>
          <w:lang w:val="en-US"/>
        </w:rPr>
        <w:t>Kheiri</w:t>
      </w:r>
      <w:r w:rsidR="00990632">
        <w:rPr>
          <w:sz w:val="24"/>
          <w:szCs w:val="24"/>
          <w:lang w:val="en-US"/>
        </w:rPr>
        <w:t xml:space="preserve"> B, Osman M, Abdalla A, Haykal T, Ahmed S, Hassan M</w:t>
      </w:r>
      <w:r w:rsidR="00990632" w:rsidRPr="00990632">
        <w:rPr>
          <w:sz w:val="24"/>
          <w:szCs w:val="24"/>
          <w:lang w:val="en-US"/>
        </w:rPr>
        <w:t xml:space="preserve"> </w:t>
      </w:r>
      <w:r w:rsidR="00F43155" w:rsidRPr="007B3D00">
        <w:rPr>
          <w:sz w:val="24"/>
          <w:szCs w:val="24"/>
          <w:lang w:val="en-US"/>
        </w:rPr>
        <w:t>et al. Tenecteplase versus alteplase for management of acute</w:t>
      </w:r>
      <w:r w:rsidR="00990632">
        <w:rPr>
          <w:sz w:val="24"/>
          <w:szCs w:val="24"/>
          <w:lang w:val="en-US"/>
        </w:rPr>
        <w:t xml:space="preserve"> </w:t>
      </w:r>
      <w:r w:rsidR="00F43155" w:rsidRPr="007B3D00">
        <w:rPr>
          <w:sz w:val="24"/>
          <w:szCs w:val="24"/>
          <w:lang w:val="en-US"/>
        </w:rPr>
        <w:t>ischemic stroke: a pairwise and network meta-analysis of randomized clinical trials</w:t>
      </w:r>
      <w:r w:rsidR="001C0257">
        <w:rPr>
          <w:sz w:val="24"/>
          <w:szCs w:val="24"/>
          <w:lang w:val="en-US"/>
        </w:rPr>
        <w:t xml:space="preserve">. </w:t>
      </w:r>
      <w:r w:rsidR="00F43155" w:rsidRPr="007B3D00">
        <w:rPr>
          <w:sz w:val="24"/>
          <w:szCs w:val="24"/>
          <w:lang w:val="en-US"/>
        </w:rPr>
        <w:t xml:space="preserve"> </w:t>
      </w:r>
      <w:r w:rsidR="001C0257" w:rsidRPr="008A62C4">
        <w:rPr>
          <w:i/>
          <w:sz w:val="24"/>
          <w:szCs w:val="24"/>
          <w:lang w:val="en-US"/>
        </w:rPr>
        <w:t>J Thromb Thrombolysis</w:t>
      </w:r>
      <w:r w:rsidR="001C0257" w:rsidRPr="001C0257">
        <w:rPr>
          <w:sz w:val="24"/>
          <w:szCs w:val="24"/>
          <w:lang w:val="en-US"/>
        </w:rPr>
        <w:t>. 2018 Nov;46(4):440-450.</w:t>
      </w:r>
    </w:p>
    <w:p w14:paraId="6CE97D56" w14:textId="67FB81CC" w:rsidR="00E47AF0" w:rsidRDefault="00E47AF0" w:rsidP="00E47AF0">
      <w:pPr>
        <w:spacing w:line="360" w:lineRule="auto"/>
        <w:jc w:val="both"/>
        <w:rPr>
          <w:sz w:val="24"/>
          <w:szCs w:val="24"/>
          <w:lang w:val="en-US"/>
        </w:rPr>
      </w:pPr>
      <w:r>
        <w:rPr>
          <w:sz w:val="24"/>
          <w:szCs w:val="24"/>
          <w:lang w:val="en-US"/>
        </w:rPr>
        <w:lastRenderedPageBreak/>
        <w:t>8</w:t>
      </w:r>
      <w:r w:rsidRPr="0038727B">
        <w:rPr>
          <w:sz w:val="24"/>
          <w:szCs w:val="24"/>
          <w:lang w:val="en-US"/>
        </w:rPr>
        <w:t>. -</w:t>
      </w:r>
      <w:r>
        <w:rPr>
          <w:sz w:val="24"/>
          <w:szCs w:val="24"/>
          <w:lang w:val="en-US"/>
        </w:rPr>
        <w:t xml:space="preserve"> </w:t>
      </w:r>
      <w:r w:rsidRPr="0038727B">
        <w:rPr>
          <w:sz w:val="24"/>
          <w:szCs w:val="24"/>
          <w:lang w:val="en-US"/>
        </w:rPr>
        <w:t xml:space="preserve">Campbell BC, Mitchell PJ, Kleinig TJ, </w:t>
      </w:r>
      <w:r>
        <w:rPr>
          <w:sz w:val="24"/>
          <w:szCs w:val="24"/>
          <w:lang w:val="en-US"/>
        </w:rPr>
        <w:t xml:space="preserve">Dewey H, Churilov L, Yassi N, </w:t>
      </w:r>
      <w:r w:rsidRPr="0038727B">
        <w:rPr>
          <w:sz w:val="24"/>
          <w:szCs w:val="24"/>
          <w:lang w:val="en-US"/>
        </w:rPr>
        <w:t>et al. Endovascular therapy for ischemic stroke with perfusion-imagi</w:t>
      </w:r>
      <w:r>
        <w:rPr>
          <w:sz w:val="24"/>
          <w:szCs w:val="24"/>
          <w:lang w:val="en-US"/>
        </w:rPr>
        <w:t>ng selection. N Engl J Med</w:t>
      </w:r>
      <w:r w:rsidRPr="0038727B">
        <w:rPr>
          <w:sz w:val="24"/>
          <w:szCs w:val="24"/>
          <w:lang w:val="en-US"/>
        </w:rPr>
        <w:t xml:space="preserve"> </w:t>
      </w:r>
      <w:r w:rsidRPr="007D6FF0">
        <w:rPr>
          <w:sz w:val="24"/>
          <w:szCs w:val="24"/>
          <w:lang w:val="en-US"/>
        </w:rPr>
        <w:t>2015; 372:1009-1018</w:t>
      </w:r>
    </w:p>
    <w:p w14:paraId="547A2BA0" w14:textId="77777777" w:rsidR="00E47AF0" w:rsidRPr="0038727B" w:rsidRDefault="00E47AF0" w:rsidP="00E47AF0">
      <w:pPr>
        <w:spacing w:line="360" w:lineRule="auto"/>
        <w:jc w:val="both"/>
        <w:rPr>
          <w:sz w:val="24"/>
          <w:szCs w:val="24"/>
          <w:lang w:val="en-US"/>
        </w:rPr>
      </w:pPr>
    </w:p>
    <w:p w14:paraId="53E75660" w14:textId="014304BD" w:rsidR="00E47AF0" w:rsidRPr="007B3D00" w:rsidRDefault="00E47AF0" w:rsidP="00E47AF0">
      <w:pPr>
        <w:spacing w:line="360" w:lineRule="auto"/>
        <w:jc w:val="both"/>
        <w:rPr>
          <w:sz w:val="24"/>
          <w:szCs w:val="24"/>
          <w:lang w:val="en-US"/>
        </w:rPr>
      </w:pPr>
      <w:r w:rsidRPr="00090318">
        <w:rPr>
          <w:sz w:val="24"/>
          <w:szCs w:val="24"/>
          <w:lang w:val="en-US"/>
        </w:rPr>
        <w:t>9. -</w:t>
      </w:r>
      <w:r w:rsidRPr="00090318">
        <w:rPr>
          <w:lang w:val="en-US"/>
        </w:rPr>
        <w:t xml:space="preserve"> </w:t>
      </w:r>
      <w:r w:rsidRPr="00090318">
        <w:rPr>
          <w:sz w:val="24"/>
          <w:szCs w:val="24"/>
          <w:lang w:val="en-US"/>
        </w:rPr>
        <w:t xml:space="preserve">Berkhemer OA,  Fransen PS, Beumer D, van den Berg LA, Lingsma HF, Yoo AJ, et al. </w:t>
      </w:r>
      <w:r w:rsidRPr="0038727B">
        <w:rPr>
          <w:sz w:val="24"/>
          <w:szCs w:val="24"/>
          <w:lang w:val="en-US"/>
        </w:rPr>
        <w:t>A randomized trial of intraarterial</w:t>
      </w:r>
      <w:r>
        <w:rPr>
          <w:sz w:val="24"/>
          <w:szCs w:val="24"/>
          <w:lang w:val="en-US"/>
        </w:rPr>
        <w:t xml:space="preserve"> </w:t>
      </w:r>
      <w:r w:rsidRPr="0038727B">
        <w:rPr>
          <w:sz w:val="24"/>
          <w:szCs w:val="24"/>
          <w:lang w:val="en-US"/>
        </w:rPr>
        <w:t xml:space="preserve">treatment for acute ischemic stroke. </w:t>
      </w:r>
      <w:r w:rsidRPr="008A62C4">
        <w:rPr>
          <w:i/>
          <w:sz w:val="24"/>
          <w:szCs w:val="24"/>
          <w:lang w:val="en-US"/>
        </w:rPr>
        <w:t xml:space="preserve">N Engl J Med </w:t>
      </w:r>
      <w:r>
        <w:rPr>
          <w:sz w:val="24"/>
          <w:szCs w:val="24"/>
          <w:lang w:val="en-US"/>
        </w:rPr>
        <w:t>2015</w:t>
      </w:r>
      <w:r w:rsidRPr="007D6FF0">
        <w:rPr>
          <w:sz w:val="24"/>
          <w:szCs w:val="24"/>
          <w:lang w:val="en-US"/>
        </w:rPr>
        <w:t>;372(1):11-20</w:t>
      </w:r>
    </w:p>
    <w:p w14:paraId="39D26203" w14:textId="77777777" w:rsidR="00BE00AE" w:rsidRPr="007B3D00" w:rsidRDefault="00BE00AE" w:rsidP="008A62C4">
      <w:pPr>
        <w:spacing w:line="360" w:lineRule="auto"/>
        <w:jc w:val="both"/>
        <w:rPr>
          <w:sz w:val="24"/>
          <w:szCs w:val="24"/>
          <w:lang w:val="en-US"/>
        </w:rPr>
      </w:pPr>
    </w:p>
    <w:p w14:paraId="3FA500D2" w14:textId="6FE6B66E" w:rsidR="00D75D37" w:rsidRPr="007B3D00" w:rsidRDefault="0038727B" w:rsidP="008A62C4">
      <w:pPr>
        <w:spacing w:line="360" w:lineRule="auto"/>
        <w:jc w:val="both"/>
        <w:rPr>
          <w:sz w:val="24"/>
          <w:szCs w:val="24"/>
          <w:lang w:val="en-US"/>
        </w:rPr>
      </w:pPr>
      <w:r>
        <w:rPr>
          <w:sz w:val="24"/>
          <w:szCs w:val="24"/>
          <w:lang w:val="en-US"/>
        </w:rPr>
        <w:t>10</w:t>
      </w:r>
      <w:r w:rsidR="00F43155" w:rsidRPr="007B3D00">
        <w:rPr>
          <w:sz w:val="24"/>
          <w:szCs w:val="24"/>
          <w:lang w:val="en-US"/>
        </w:rPr>
        <w:t xml:space="preserve">.- </w:t>
      </w:r>
      <w:r w:rsidR="00D75D37" w:rsidRPr="0038727B">
        <w:rPr>
          <w:sz w:val="24"/>
          <w:szCs w:val="24"/>
          <w:lang w:val="en-US"/>
        </w:rPr>
        <w:t xml:space="preserve">Campbell BC, Mitchell PJ, </w:t>
      </w:r>
      <w:r w:rsidR="00D75D37">
        <w:rPr>
          <w:sz w:val="24"/>
          <w:szCs w:val="24"/>
          <w:lang w:val="en-US"/>
        </w:rPr>
        <w:t>Churilov L</w:t>
      </w:r>
      <w:r w:rsidR="00D75D37" w:rsidRPr="0038727B">
        <w:rPr>
          <w:sz w:val="24"/>
          <w:szCs w:val="24"/>
          <w:lang w:val="en-US"/>
        </w:rPr>
        <w:t xml:space="preserve"> </w:t>
      </w:r>
      <w:r w:rsidR="00D75D37">
        <w:rPr>
          <w:sz w:val="24"/>
          <w:szCs w:val="24"/>
          <w:lang w:val="en-US"/>
        </w:rPr>
        <w:t>, Yassi N</w:t>
      </w:r>
      <w:r w:rsidR="00D75D37" w:rsidRPr="0038727B">
        <w:rPr>
          <w:sz w:val="24"/>
          <w:szCs w:val="24"/>
          <w:lang w:val="en-US"/>
        </w:rPr>
        <w:t xml:space="preserve"> </w:t>
      </w:r>
      <w:r w:rsidR="00D75D37">
        <w:rPr>
          <w:sz w:val="24"/>
          <w:szCs w:val="24"/>
          <w:lang w:val="en-US"/>
        </w:rPr>
        <w:t xml:space="preserve">, </w:t>
      </w:r>
      <w:r w:rsidR="00D75D37" w:rsidRPr="0038727B">
        <w:rPr>
          <w:sz w:val="24"/>
          <w:szCs w:val="24"/>
          <w:lang w:val="en-US"/>
        </w:rPr>
        <w:t xml:space="preserve">Kleinig TJ, </w:t>
      </w:r>
      <w:r w:rsidR="004D1F4E">
        <w:rPr>
          <w:sz w:val="24"/>
          <w:szCs w:val="24"/>
          <w:lang w:val="en-US"/>
        </w:rPr>
        <w:t xml:space="preserve">Dowling </w:t>
      </w:r>
      <w:r w:rsidR="00D75D37">
        <w:rPr>
          <w:sz w:val="24"/>
          <w:szCs w:val="24"/>
          <w:lang w:val="en-US"/>
        </w:rPr>
        <w:t xml:space="preserve">R , </w:t>
      </w:r>
      <w:r w:rsidR="00F43155" w:rsidRPr="007B3D00">
        <w:rPr>
          <w:sz w:val="24"/>
          <w:szCs w:val="24"/>
          <w:lang w:val="en-US"/>
        </w:rPr>
        <w:t>et al. Tenecteplase versus Alteplase before Thrombectomy for</w:t>
      </w:r>
      <w:r w:rsidR="004D1F4E">
        <w:rPr>
          <w:sz w:val="24"/>
          <w:szCs w:val="24"/>
          <w:lang w:val="en-US"/>
        </w:rPr>
        <w:t xml:space="preserve"> </w:t>
      </w:r>
      <w:r w:rsidR="00F43155" w:rsidRPr="007B3D00">
        <w:rPr>
          <w:sz w:val="24"/>
          <w:szCs w:val="24"/>
          <w:lang w:val="en-US"/>
        </w:rPr>
        <w:t xml:space="preserve">Ischemic Stroke, </w:t>
      </w:r>
      <w:r w:rsidR="00F43155" w:rsidRPr="008A62C4">
        <w:rPr>
          <w:i/>
          <w:sz w:val="24"/>
          <w:szCs w:val="24"/>
          <w:lang w:val="en-US"/>
        </w:rPr>
        <w:t>N Engl J Med</w:t>
      </w:r>
      <w:r w:rsidR="00F43155" w:rsidRPr="007B3D00">
        <w:rPr>
          <w:sz w:val="24"/>
          <w:szCs w:val="24"/>
          <w:lang w:val="en-US"/>
        </w:rPr>
        <w:t xml:space="preserve"> 2018; 378:1573-1582</w:t>
      </w:r>
    </w:p>
    <w:p w14:paraId="381D5BDF" w14:textId="77777777" w:rsidR="00BE00AE" w:rsidRPr="004D1F4E" w:rsidRDefault="0038727B" w:rsidP="008A62C4">
      <w:pPr>
        <w:spacing w:before="240" w:after="240" w:line="360" w:lineRule="auto"/>
        <w:jc w:val="both"/>
        <w:rPr>
          <w:sz w:val="24"/>
          <w:szCs w:val="24"/>
          <w:lang w:val="en-US"/>
        </w:rPr>
      </w:pPr>
      <w:r w:rsidRPr="004D1F4E">
        <w:rPr>
          <w:sz w:val="24"/>
          <w:szCs w:val="24"/>
          <w:lang w:val="en-US"/>
        </w:rPr>
        <w:t>11</w:t>
      </w:r>
      <w:r w:rsidR="00F43155" w:rsidRPr="004D1F4E">
        <w:rPr>
          <w:sz w:val="24"/>
          <w:szCs w:val="24"/>
          <w:lang w:val="en-US"/>
        </w:rPr>
        <w:t xml:space="preserve">.- </w:t>
      </w:r>
      <w:r w:rsidR="004D1F4E" w:rsidRPr="004D1F4E">
        <w:rPr>
          <w:sz w:val="24"/>
          <w:szCs w:val="24"/>
          <w:lang w:val="en-US"/>
        </w:rPr>
        <w:t>Campbell</w:t>
      </w:r>
      <w:r w:rsidR="004D1F4E">
        <w:rPr>
          <w:sz w:val="24"/>
          <w:szCs w:val="24"/>
          <w:lang w:val="en-US"/>
        </w:rPr>
        <w:t xml:space="preserve"> BC , Mitchell P, Churilov L, Yassi N, Kleinig TJ, Dowling R, et al.</w:t>
      </w:r>
      <w:r w:rsidR="00F43155" w:rsidRPr="004D1F4E">
        <w:rPr>
          <w:sz w:val="24"/>
          <w:szCs w:val="24"/>
          <w:lang w:val="en-US"/>
        </w:rPr>
        <w:t xml:space="preserve"> Effect of Intravenous Tenecteplase Dose on Cerebral Reperfusion Before Thrombectomy in Patients With Large Vessel Occlusion Ischemic Stroke The EXTEND-IA TNK Part 2, </w:t>
      </w:r>
      <w:r w:rsidR="008A62C4">
        <w:rPr>
          <w:i/>
          <w:sz w:val="24"/>
          <w:szCs w:val="24"/>
          <w:lang w:val="en-US"/>
        </w:rPr>
        <w:t>J</w:t>
      </w:r>
      <w:r w:rsidR="004D1F4E" w:rsidRPr="008A62C4">
        <w:rPr>
          <w:i/>
          <w:sz w:val="24"/>
          <w:szCs w:val="24"/>
          <w:lang w:val="en-US"/>
        </w:rPr>
        <w:t xml:space="preserve">ama </w:t>
      </w:r>
      <w:r w:rsidR="004D1F4E" w:rsidRPr="004D1F4E">
        <w:rPr>
          <w:sz w:val="24"/>
          <w:szCs w:val="24"/>
          <w:lang w:val="en-US"/>
        </w:rPr>
        <w:t>2020;323(13):1257–1265</w:t>
      </w:r>
    </w:p>
    <w:p w14:paraId="595A3CD9" w14:textId="77777777" w:rsidR="00BE00AE" w:rsidRDefault="0038727B" w:rsidP="008A62C4">
      <w:pPr>
        <w:spacing w:before="240" w:after="240" w:line="360" w:lineRule="auto"/>
        <w:jc w:val="both"/>
        <w:rPr>
          <w:sz w:val="24"/>
          <w:szCs w:val="24"/>
          <w:lang w:val="en-US"/>
        </w:rPr>
      </w:pPr>
      <w:r w:rsidRPr="004D1F4E">
        <w:rPr>
          <w:sz w:val="24"/>
          <w:szCs w:val="24"/>
          <w:lang w:val="en-US"/>
        </w:rPr>
        <w:t>12</w:t>
      </w:r>
      <w:r w:rsidR="00F43155" w:rsidRPr="004D1F4E">
        <w:rPr>
          <w:sz w:val="24"/>
          <w:szCs w:val="24"/>
          <w:lang w:val="en-US"/>
        </w:rPr>
        <w:t xml:space="preserve">.- </w:t>
      </w:r>
      <w:r w:rsidR="0031652E">
        <w:rPr>
          <w:sz w:val="24"/>
          <w:szCs w:val="24"/>
          <w:lang w:val="en-US"/>
        </w:rPr>
        <w:t xml:space="preserve">Thomalla G, Simonsen C, Boutiti F, Andersen G, Berthezene Y, </w:t>
      </w:r>
      <w:r w:rsidR="0031652E" w:rsidRPr="00FF3C1C">
        <w:rPr>
          <w:sz w:val="24"/>
          <w:szCs w:val="24"/>
          <w:lang w:val="en-US"/>
        </w:rPr>
        <w:t xml:space="preserve"> Cheng</w:t>
      </w:r>
      <w:r w:rsidR="0031652E">
        <w:rPr>
          <w:sz w:val="24"/>
          <w:szCs w:val="24"/>
          <w:lang w:val="en-US"/>
        </w:rPr>
        <w:t xml:space="preserve"> B</w:t>
      </w:r>
      <w:r w:rsidR="0031652E" w:rsidRPr="00FF3C1C">
        <w:rPr>
          <w:sz w:val="24"/>
          <w:szCs w:val="24"/>
          <w:lang w:val="en-US"/>
        </w:rPr>
        <w:t>,</w:t>
      </w:r>
      <w:r w:rsidR="0031652E">
        <w:rPr>
          <w:sz w:val="24"/>
          <w:szCs w:val="24"/>
          <w:lang w:val="en-US"/>
        </w:rPr>
        <w:t xml:space="preserve"> </w:t>
      </w:r>
      <w:r w:rsidR="00F43155" w:rsidRPr="004D1F4E">
        <w:rPr>
          <w:sz w:val="24"/>
          <w:szCs w:val="24"/>
          <w:lang w:val="en-US"/>
        </w:rPr>
        <w:t xml:space="preserve">et al  MRI-Guided thrombolysis for stroke with unknown time of onset. </w:t>
      </w:r>
      <w:r w:rsidR="00FF3C1C" w:rsidRPr="0054211F">
        <w:rPr>
          <w:i/>
          <w:sz w:val="24"/>
          <w:szCs w:val="24"/>
          <w:lang w:val="en-US"/>
        </w:rPr>
        <w:t>N Engl J Med</w:t>
      </w:r>
      <w:r w:rsidR="00FF3C1C" w:rsidRPr="00FF3C1C">
        <w:rPr>
          <w:sz w:val="24"/>
          <w:szCs w:val="24"/>
          <w:lang w:val="en-US"/>
        </w:rPr>
        <w:t xml:space="preserve"> 2018; 379:611-622</w:t>
      </w:r>
    </w:p>
    <w:p w14:paraId="75DD2B91" w14:textId="77777777" w:rsidR="00BE00AE" w:rsidRPr="007B3D00" w:rsidRDefault="0038727B" w:rsidP="008A62C4">
      <w:pPr>
        <w:spacing w:before="240" w:after="240" w:line="360" w:lineRule="auto"/>
        <w:jc w:val="both"/>
        <w:rPr>
          <w:sz w:val="24"/>
          <w:szCs w:val="24"/>
          <w:lang w:val="en-US"/>
        </w:rPr>
      </w:pPr>
      <w:r>
        <w:rPr>
          <w:sz w:val="24"/>
          <w:szCs w:val="24"/>
          <w:lang w:val="en-US"/>
        </w:rPr>
        <w:t>13</w:t>
      </w:r>
      <w:r w:rsidR="00F43155" w:rsidRPr="007B3D00">
        <w:rPr>
          <w:sz w:val="24"/>
          <w:szCs w:val="24"/>
          <w:lang w:val="en-US"/>
        </w:rPr>
        <w:t xml:space="preserve">.- </w:t>
      </w:r>
      <w:r w:rsidR="0031652E">
        <w:rPr>
          <w:sz w:val="24"/>
          <w:szCs w:val="24"/>
          <w:lang w:val="en-US"/>
        </w:rPr>
        <w:t>Campbell BC, Ma H, Ringleb PA, Parsons M, Churilov L</w:t>
      </w:r>
      <w:r w:rsidR="0031652E" w:rsidRPr="0031652E">
        <w:rPr>
          <w:sz w:val="24"/>
          <w:szCs w:val="24"/>
          <w:lang w:val="en-US"/>
        </w:rPr>
        <w:t>, Bendszus M</w:t>
      </w:r>
      <w:r w:rsidR="0054211F">
        <w:rPr>
          <w:sz w:val="24"/>
          <w:szCs w:val="24"/>
          <w:lang w:val="en-US"/>
        </w:rPr>
        <w:t>, et al.</w:t>
      </w:r>
      <w:r w:rsidR="00F43155" w:rsidRPr="007B3D00">
        <w:rPr>
          <w:sz w:val="24"/>
          <w:szCs w:val="24"/>
          <w:lang w:val="en-US"/>
        </w:rPr>
        <w:t xml:space="preserve"> Extending thrombolysis to 4·5–9 h and wake-up stroke using perfusion imaging: a systematic review and meta-analysis of individual patient data. </w:t>
      </w:r>
      <w:r w:rsidR="0031652E" w:rsidRPr="0031652E">
        <w:rPr>
          <w:i/>
          <w:sz w:val="24"/>
          <w:szCs w:val="24"/>
          <w:lang w:val="en-US"/>
        </w:rPr>
        <w:t xml:space="preserve">Lancet. </w:t>
      </w:r>
      <w:r w:rsidR="0031652E" w:rsidRPr="0031652E">
        <w:rPr>
          <w:sz w:val="24"/>
          <w:szCs w:val="24"/>
          <w:lang w:val="en-US"/>
        </w:rPr>
        <w:t>2019 Jul 13;394</w:t>
      </w:r>
      <w:r w:rsidR="0031652E">
        <w:rPr>
          <w:sz w:val="24"/>
          <w:szCs w:val="24"/>
          <w:lang w:val="en-US"/>
        </w:rPr>
        <w:t xml:space="preserve"> </w:t>
      </w:r>
      <w:r w:rsidR="0031652E" w:rsidRPr="0031652E">
        <w:rPr>
          <w:sz w:val="24"/>
          <w:szCs w:val="24"/>
          <w:lang w:val="en-US"/>
        </w:rPr>
        <w:t>(10193):139-147</w:t>
      </w:r>
    </w:p>
    <w:p w14:paraId="40DD589B" w14:textId="77777777" w:rsidR="00BE00AE" w:rsidRPr="007B3D00" w:rsidRDefault="0038727B" w:rsidP="008A62C4">
      <w:pPr>
        <w:spacing w:before="240" w:after="240" w:line="360" w:lineRule="auto"/>
        <w:jc w:val="both"/>
        <w:rPr>
          <w:sz w:val="24"/>
          <w:szCs w:val="24"/>
          <w:lang w:val="en-US"/>
        </w:rPr>
      </w:pPr>
      <w:r>
        <w:rPr>
          <w:sz w:val="24"/>
          <w:szCs w:val="24"/>
          <w:lang w:val="en-US"/>
        </w:rPr>
        <w:t>14</w:t>
      </w:r>
      <w:r w:rsidR="00F43155" w:rsidRPr="007B3D00">
        <w:rPr>
          <w:sz w:val="24"/>
          <w:szCs w:val="24"/>
          <w:lang w:val="en-US"/>
        </w:rPr>
        <w:t xml:space="preserve">.- Rusanen, H., Saarinen, J. T., &amp; Sillanpää, N. Collateral circulation predicts the size of the infarct core and the proportion of salvageable penumbra in hyperacute ischemic stroke patients treated with intravenous thrombolysis. </w:t>
      </w:r>
      <w:r w:rsidR="0054211F">
        <w:rPr>
          <w:i/>
          <w:sz w:val="24"/>
          <w:szCs w:val="24"/>
          <w:lang w:val="en-US"/>
        </w:rPr>
        <w:t>Cerebrovas Dis</w:t>
      </w:r>
      <w:r w:rsidR="00F43155" w:rsidRPr="007B3D00">
        <w:rPr>
          <w:sz w:val="24"/>
          <w:szCs w:val="24"/>
          <w:lang w:val="en-US"/>
        </w:rPr>
        <w:t xml:space="preserve">, 2015; </w:t>
      </w:r>
      <w:r w:rsidR="00F43155" w:rsidRPr="007B3D00">
        <w:rPr>
          <w:i/>
          <w:sz w:val="24"/>
          <w:szCs w:val="24"/>
          <w:lang w:val="en-US"/>
        </w:rPr>
        <w:t xml:space="preserve">40 </w:t>
      </w:r>
      <w:r w:rsidR="00F43155" w:rsidRPr="007B3D00">
        <w:rPr>
          <w:sz w:val="24"/>
          <w:szCs w:val="24"/>
          <w:lang w:val="en-US"/>
        </w:rPr>
        <w:t>(3–4), 182–190.</w:t>
      </w:r>
      <w:r w:rsidR="0054211F">
        <w:rPr>
          <w:sz w:val="24"/>
          <w:szCs w:val="24"/>
          <w:lang w:val="en-US"/>
        </w:rPr>
        <w:t xml:space="preserve"> </w:t>
      </w:r>
    </w:p>
    <w:p w14:paraId="069D00C3" w14:textId="77777777" w:rsidR="00BE00AE" w:rsidRPr="007B3D00" w:rsidRDefault="0038727B" w:rsidP="008A62C4">
      <w:pPr>
        <w:spacing w:before="240" w:after="240" w:line="360" w:lineRule="auto"/>
        <w:jc w:val="both"/>
        <w:rPr>
          <w:sz w:val="24"/>
          <w:szCs w:val="24"/>
          <w:lang w:val="en-US"/>
        </w:rPr>
      </w:pPr>
      <w:r>
        <w:rPr>
          <w:sz w:val="24"/>
          <w:szCs w:val="24"/>
          <w:lang w:val="en-US"/>
        </w:rPr>
        <w:t>15</w:t>
      </w:r>
      <w:r w:rsidR="00F43155" w:rsidRPr="007B3D00">
        <w:rPr>
          <w:sz w:val="24"/>
          <w:szCs w:val="24"/>
          <w:lang w:val="en-US"/>
        </w:rPr>
        <w:t xml:space="preserve">.- </w:t>
      </w:r>
      <w:r w:rsidR="009B6AD1">
        <w:rPr>
          <w:sz w:val="24"/>
          <w:szCs w:val="24"/>
          <w:lang w:val="en-US"/>
        </w:rPr>
        <w:t>Armon C, Wainstein J, Gour A</w:t>
      </w:r>
      <w:r w:rsidR="009B6AD1" w:rsidRPr="009B6AD1">
        <w:rPr>
          <w:sz w:val="24"/>
          <w:szCs w:val="24"/>
          <w:lang w:val="en-US"/>
        </w:rPr>
        <w:t>, Levite R</w:t>
      </w:r>
      <w:r w:rsidR="009B6AD1">
        <w:rPr>
          <w:sz w:val="24"/>
          <w:szCs w:val="24"/>
          <w:lang w:val="en-US"/>
        </w:rPr>
        <w:t>, Bartal A</w:t>
      </w:r>
      <w:r w:rsidR="009B6AD1" w:rsidRPr="009B6AD1">
        <w:rPr>
          <w:sz w:val="24"/>
          <w:szCs w:val="24"/>
          <w:lang w:val="en-US"/>
        </w:rPr>
        <w:t>, Kriboushay A</w:t>
      </w:r>
      <w:r w:rsidR="009B6AD1">
        <w:rPr>
          <w:sz w:val="24"/>
          <w:szCs w:val="24"/>
          <w:lang w:val="en-US"/>
        </w:rPr>
        <w:t xml:space="preserve">, et al. </w:t>
      </w:r>
      <w:r w:rsidR="00F43155" w:rsidRPr="007B3D00">
        <w:rPr>
          <w:sz w:val="24"/>
          <w:szCs w:val="24"/>
          <w:lang w:val="en-US"/>
        </w:rPr>
        <w:t xml:space="preserve">CT-guided thrombolytic treatment of patients with wake-up strokes. </w:t>
      </w:r>
      <w:r w:rsidR="00F43155" w:rsidRPr="007B3D00">
        <w:rPr>
          <w:i/>
          <w:sz w:val="24"/>
          <w:szCs w:val="24"/>
          <w:lang w:val="en-US"/>
        </w:rPr>
        <w:t>ENeurologicalSci</w:t>
      </w:r>
      <w:r w:rsidR="009B6AD1">
        <w:rPr>
          <w:sz w:val="24"/>
          <w:szCs w:val="24"/>
          <w:lang w:val="en-US"/>
        </w:rPr>
        <w:t xml:space="preserve"> 2</w:t>
      </w:r>
      <w:r w:rsidR="009B6AD1" w:rsidRPr="009B6AD1">
        <w:rPr>
          <w:sz w:val="24"/>
          <w:szCs w:val="24"/>
          <w:lang w:val="en-US"/>
        </w:rPr>
        <w:t>019 Feb 5;</w:t>
      </w:r>
      <w:r w:rsidR="009B6AD1">
        <w:rPr>
          <w:sz w:val="24"/>
          <w:szCs w:val="24"/>
          <w:lang w:val="en-US"/>
        </w:rPr>
        <w:t xml:space="preserve"> (</w:t>
      </w:r>
      <w:r w:rsidR="009B6AD1" w:rsidRPr="009B6AD1">
        <w:rPr>
          <w:sz w:val="24"/>
          <w:szCs w:val="24"/>
          <w:lang w:val="en-US"/>
        </w:rPr>
        <w:t>14</w:t>
      </w:r>
      <w:r w:rsidR="009B6AD1">
        <w:rPr>
          <w:sz w:val="24"/>
          <w:szCs w:val="24"/>
          <w:lang w:val="en-US"/>
        </w:rPr>
        <w:t>)</w:t>
      </w:r>
      <w:r w:rsidR="009B6AD1" w:rsidRPr="009B6AD1">
        <w:rPr>
          <w:sz w:val="24"/>
          <w:szCs w:val="24"/>
          <w:lang w:val="en-US"/>
        </w:rPr>
        <w:t>:91-</w:t>
      </w:r>
      <w:r w:rsidR="009B6AD1">
        <w:rPr>
          <w:sz w:val="24"/>
          <w:szCs w:val="24"/>
          <w:lang w:val="en-US"/>
        </w:rPr>
        <w:t>9</w:t>
      </w:r>
      <w:r w:rsidR="009B6AD1" w:rsidRPr="009B6AD1">
        <w:rPr>
          <w:sz w:val="24"/>
          <w:szCs w:val="24"/>
          <w:lang w:val="en-US"/>
        </w:rPr>
        <w:t>9</w:t>
      </w:r>
      <w:r w:rsidR="00F43155" w:rsidRPr="007B3D00">
        <w:rPr>
          <w:sz w:val="24"/>
          <w:szCs w:val="24"/>
          <w:lang w:val="en-US"/>
        </w:rPr>
        <w:t xml:space="preserve"> </w:t>
      </w:r>
    </w:p>
    <w:p w14:paraId="5032F322" w14:textId="77777777" w:rsidR="00BE00AE" w:rsidRPr="007B3D00" w:rsidRDefault="0038727B" w:rsidP="008A62C4">
      <w:pPr>
        <w:spacing w:before="240" w:after="240" w:line="360" w:lineRule="auto"/>
        <w:jc w:val="both"/>
        <w:rPr>
          <w:sz w:val="24"/>
          <w:szCs w:val="24"/>
          <w:lang w:val="en-US"/>
        </w:rPr>
      </w:pPr>
      <w:r>
        <w:rPr>
          <w:sz w:val="24"/>
          <w:szCs w:val="24"/>
          <w:lang w:val="en-US"/>
        </w:rPr>
        <w:lastRenderedPageBreak/>
        <w:t>16</w:t>
      </w:r>
      <w:r w:rsidR="00F43155" w:rsidRPr="007B3D00">
        <w:rPr>
          <w:sz w:val="24"/>
          <w:szCs w:val="24"/>
          <w:lang w:val="en-US"/>
        </w:rPr>
        <w:t xml:space="preserve">.- </w:t>
      </w:r>
      <w:r w:rsidR="009E6E0B" w:rsidRPr="009E6E0B">
        <w:rPr>
          <w:sz w:val="24"/>
          <w:szCs w:val="24"/>
          <w:lang w:val="en-US"/>
        </w:rPr>
        <w:t>Sykora</w:t>
      </w:r>
      <w:r w:rsidR="009E6E0B">
        <w:rPr>
          <w:sz w:val="24"/>
          <w:szCs w:val="24"/>
          <w:lang w:val="en-US"/>
        </w:rPr>
        <w:t xml:space="preserve"> M, Kellert L, Michel P, Eskandari A, Feil K, </w:t>
      </w:r>
      <w:r w:rsidR="009E6E0B" w:rsidRPr="009E6E0B">
        <w:rPr>
          <w:sz w:val="24"/>
          <w:szCs w:val="24"/>
          <w:lang w:val="en-US"/>
        </w:rPr>
        <w:t xml:space="preserve"> Rémi J</w:t>
      </w:r>
      <w:r w:rsidR="009E6E0B">
        <w:rPr>
          <w:sz w:val="24"/>
          <w:szCs w:val="24"/>
          <w:lang w:val="en-US"/>
        </w:rPr>
        <w:t xml:space="preserve">, </w:t>
      </w:r>
      <w:r w:rsidR="00F43155" w:rsidRPr="007B3D00">
        <w:rPr>
          <w:sz w:val="24"/>
          <w:szCs w:val="24"/>
          <w:lang w:val="en-US"/>
        </w:rPr>
        <w:t xml:space="preserve"> et al</w:t>
      </w:r>
      <w:r w:rsidR="009E6E0B">
        <w:rPr>
          <w:sz w:val="24"/>
          <w:szCs w:val="24"/>
          <w:lang w:val="en-US"/>
        </w:rPr>
        <w:t>.</w:t>
      </w:r>
      <w:r w:rsidR="00F43155" w:rsidRPr="007B3D00">
        <w:rPr>
          <w:sz w:val="24"/>
          <w:szCs w:val="24"/>
          <w:lang w:val="en-US"/>
        </w:rPr>
        <w:t xml:space="preserve"> </w:t>
      </w:r>
      <w:r w:rsidR="00F43155" w:rsidRPr="009E6E0B">
        <w:rPr>
          <w:sz w:val="24"/>
          <w:szCs w:val="24"/>
          <w:lang w:val="en-US"/>
        </w:rPr>
        <w:t>Thrombolysis in Stroke With Unknown Onset Based on Non-Contrast.</w:t>
      </w:r>
      <w:r w:rsidR="00F43155" w:rsidRPr="007B3D00">
        <w:rPr>
          <w:sz w:val="24"/>
          <w:szCs w:val="24"/>
          <w:lang w:val="en-US"/>
        </w:rPr>
        <w:t xml:space="preserve"> </w:t>
      </w:r>
      <w:r w:rsidR="009E6E0B" w:rsidRPr="008A62C4">
        <w:rPr>
          <w:i/>
          <w:sz w:val="24"/>
          <w:szCs w:val="24"/>
          <w:lang w:val="en-US"/>
        </w:rPr>
        <w:t>J Am Heart Assoc</w:t>
      </w:r>
      <w:r w:rsidR="009E6E0B" w:rsidRPr="009E6E0B">
        <w:rPr>
          <w:sz w:val="24"/>
          <w:szCs w:val="24"/>
          <w:lang w:val="en-US"/>
        </w:rPr>
        <w:t>. 2020 Feb 18;9</w:t>
      </w:r>
      <w:r w:rsidR="009E6E0B">
        <w:rPr>
          <w:sz w:val="24"/>
          <w:szCs w:val="24"/>
          <w:lang w:val="en-US"/>
        </w:rPr>
        <w:t xml:space="preserve"> </w:t>
      </w:r>
      <w:r w:rsidR="009E6E0B" w:rsidRPr="009E6E0B">
        <w:rPr>
          <w:sz w:val="24"/>
          <w:szCs w:val="24"/>
          <w:lang w:val="en-US"/>
        </w:rPr>
        <w:t>(4):</w:t>
      </w:r>
      <w:r w:rsidR="009E6E0B">
        <w:rPr>
          <w:sz w:val="24"/>
          <w:szCs w:val="24"/>
          <w:lang w:val="en-US"/>
        </w:rPr>
        <w:t xml:space="preserve"> </w:t>
      </w:r>
      <w:r w:rsidR="009E6E0B" w:rsidRPr="009E6E0B">
        <w:rPr>
          <w:sz w:val="24"/>
          <w:szCs w:val="24"/>
          <w:lang w:val="en-US"/>
        </w:rPr>
        <w:t>e014265</w:t>
      </w:r>
    </w:p>
    <w:p w14:paraId="4DA64554" w14:textId="77777777" w:rsidR="00BE00AE" w:rsidRPr="00090318" w:rsidRDefault="0038727B" w:rsidP="008A62C4">
      <w:pPr>
        <w:spacing w:before="240" w:after="240" w:line="360" w:lineRule="auto"/>
        <w:jc w:val="both"/>
        <w:rPr>
          <w:i/>
          <w:sz w:val="24"/>
          <w:szCs w:val="24"/>
          <w:lang w:val="en-US"/>
        </w:rPr>
      </w:pPr>
      <w:r>
        <w:rPr>
          <w:sz w:val="24"/>
          <w:szCs w:val="24"/>
          <w:lang w:val="en-US"/>
        </w:rPr>
        <w:t>17</w:t>
      </w:r>
      <w:r w:rsidR="00F43155" w:rsidRPr="007B3D00">
        <w:rPr>
          <w:sz w:val="24"/>
          <w:szCs w:val="24"/>
          <w:lang w:val="en-US"/>
        </w:rPr>
        <w:t xml:space="preserve">.- </w:t>
      </w:r>
      <w:r w:rsidR="009E6E0B">
        <w:rPr>
          <w:sz w:val="24"/>
          <w:szCs w:val="24"/>
          <w:lang w:val="en-US"/>
        </w:rPr>
        <w:t>Kate M</w:t>
      </w:r>
      <w:r w:rsidR="009E6E0B" w:rsidRPr="009E6E0B">
        <w:rPr>
          <w:sz w:val="24"/>
          <w:szCs w:val="24"/>
          <w:lang w:val="en-US"/>
        </w:rPr>
        <w:t>, Wannamak</w:t>
      </w:r>
      <w:r w:rsidR="009E6E0B">
        <w:rPr>
          <w:sz w:val="24"/>
          <w:szCs w:val="24"/>
          <w:lang w:val="en-US"/>
        </w:rPr>
        <w:t>er R, Kamble H, Riaz P, Gioia LC</w:t>
      </w:r>
      <w:r w:rsidR="009E6E0B" w:rsidRPr="009E6E0B">
        <w:rPr>
          <w:sz w:val="24"/>
          <w:szCs w:val="24"/>
          <w:lang w:val="en-US"/>
        </w:rPr>
        <w:t>, Buck B</w:t>
      </w:r>
      <w:r w:rsidR="00F43155" w:rsidRPr="007B3D00">
        <w:rPr>
          <w:sz w:val="24"/>
          <w:szCs w:val="24"/>
          <w:lang w:val="en-US"/>
        </w:rPr>
        <w:t>. et al</w:t>
      </w:r>
      <w:r w:rsidR="009E6E0B">
        <w:rPr>
          <w:sz w:val="24"/>
          <w:szCs w:val="24"/>
          <w:lang w:val="en-US"/>
        </w:rPr>
        <w:t xml:space="preserve">. </w:t>
      </w:r>
      <w:r w:rsidR="00F43155" w:rsidRPr="007B3D00">
        <w:rPr>
          <w:sz w:val="24"/>
          <w:szCs w:val="24"/>
          <w:lang w:val="en-US"/>
        </w:rPr>
        <w:t xml:space="preserve"> Penumbral imaging-based thrombolysis with tenecteplase is feasible up to 24 hours after symptom onset. </w:t>
      </w:r>
      <w:r w:rsidR="009E6E0B" w:rsidRPr="00090318">
        <w:rPr>
          <w:i/>
          <w:sz w:val="24"/>
          <w:szCs w:val="24"/>
          <w:lang w:val="en-US"/>
        </w:rPr>
        <w:t>J Stroke. 2018 Jan;20(1):122-130</w:t>
      </w:r>
    </w:p>
    <w:p w14:paraId="7B02B015" w14:textId="4C9E40B4" w:rsidR="00A22A6A" w:rsidRPr="00D86B24" w:rsidRDefault="00E434C2" w:rsidP="008A62C4">
      <w:pPr>
        <w:spacing w:before="240" w:after="240" w:line="360" w:lineRule="auto"/>
        <w:jc w:val="both"/>
        <w:rPr>
          <w:sz w:val="24"/>
          <w:szCs w:val="24"/>
          <w:lang w:val="en-US"/>
        </w:rPr>
      </w:pPr>
      <w:r w:rsidRPr="00D86B24">
        <w:rPr>
          <w:iCs/>
          <w:sz w:val="24"/>
          <w:szCs w:val="24"/>
          <w:lang w:val="en-US"/>
        </w:rPr>
        <w:t>1</w:t>
      </w:r>
      <w:r w:rsidR="00AD1B5D" w:rsidRPr="00D86B24">
        <w:rPr>
          <w:iCs/>
          <w:sz w:val="24"/>
          <w:szCs w:val="24"/>
          <w:lang w:val="en-US"/>
        </w:rPr>
        <w:t>8</w:t>
      </w:r>
      <w:r w:rsidR="00E41E93" w:rsidRPr="00D86B24">
        <w:rPr>
          <w:iCs/>
          <w:sz w:val="24"/>
          <w:szCs w:val="24"/>
          <w:lang w:val="en-US"/>
        </w:rPr>
        <w:t xml:space="preserve">. </w:t>
      </w:r>
      <w:r w:rsidR="003023E5" w:rsidRPr="00D86B24">
        <w:rPr>
          <w:iCs/>
          <w:sz w:val="24"/>
          <w:szCs w:val="24"/>
          <w:lang w:val="en-US"/>
        </w:rPr>
        <w:t>Amrou Sarraj MD1, Ameer E. Hassan DO2,  James Grotta MD1, Clark Sitton MD</w:t>
      </w:r>
      <w:r w:rsidR="00A31E97" w:rsidRPr="00D86B24">
        <w:rPr>
          <w:iCs/>
          <w:sz w:val="24"/>
          <w:szCs w:val="24"/>
          <w:lang w:val="en-US"/>
        </w:rPr>
        <w:t xml:space="preserve">. </w:t>
      </w:r>
      <w:r w:rsidR="00F547AA" w:rsidRPr="00D86B24">
        <w:rPr>
          <w:sz w:val="24"/>
          <w:szCs w:val="24"/>
          <w:lang w:val="en-US"/>
        </w:rPr>
        <w:t>Optimizing Patient Selection for Endovascular Treatment in Acute Ischemic Stroke (SELECT): A Prospective Multicenter Cohort Study of Imaging Selection</w:t>
      </w:r>
    </w:p>
    <w:p w14:paraId="4DDEC5FE" w14:textId="1EEC9548" w:rsidR="00EA5A82" w:rsidRPr="00D86B24" w:rsidRDefault="00A22A6A" w:rsidP="00EA5A82">
      <w:pPr>
        <w:spacing w:before="240" w:after="240" w:line="360" w:lineRule="auto"/>
        <w:jc w:val="both"/>
        <w:rPr>
          <w:sz w:val="24"/>
          <w:szCs w:val="24"/>
          <w:lang w:val="en-US"/>
        </w:rPr>
      </w:pPr>
      <w:r w:rsidRPr="00D86B24">
        <w:rPr>
          <w:sz w:val="24"/>
          <w:szCs w:val="24"/>
          <w:lang w:val="en-US"/>
        </w:rPr>
        <w:t>1</w:t>
      </w:r>
      <w:r w:rsidR="00AD1B5D" w:rsidRPr="00D86B24">
        <w:rPr>
          <w:sz w:val="24"/>
          <w:szCs w:val="24"/>
          <w:lang w:val="en-US"/>
        </w:rPr>
        <w:t>9</w:t>
      </w:r>
      <w:r w:rsidRPr="00D86B24">
        <w:rPr>
          <w:sz w:val="24"/>
          <w:szCs w:val="24"/>
          <w:lang w:val="en-US"/>
        </w:rPr>
        <w:t xml:space="preserve">. </w:t>
      </w:r>
      <w:r w:rsidR="00EA5A82" w:rsidRPr="00D86B24">
        <w:rPr>
          <w:sz w:val="24"/>
          <w:szCs w:val="24"/>
          <w:lang w:val="en-US"/>
        </w:rPr>
        <w:t>Shadi   Yaghi a,   Nicholas   Bianchi a,   Adewumi   Amole b, Archana   Hinduja ASPECTS   is   a   predictor   of   favorable   CT perfusion   in   acute   ischemic   stroke.</w:t>
      </w:r>
    </w:p>
    <w:p w14:paraId="37327717" w14:textId="1AACEA36" w:rsidR="000F1D5D" w:rsidRPr="00D86B24" w:rsidRDefault="000F1D5D" w:rsidP="00EA5A82">
      <w:pPr>
        <w:spacing w:before="240" w:after="240" w:line="360" w:lineRule="auto"/>
        <w:jc w:val="both"/>
        <w:rPr>
          <w:sz w:val="24"/>
          <w:szCs w:val="24"/>
          <w:lang w:val="en-US"/>
        </w:rPr>
      </w:pPr>
    </w:p>
    <w:sectPr w:rsidR="000F1D5D" w:rsidRPr="00D86B24" w:rsidSect="00516EA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456A"/>
    <w:multiLevelType w:val="multilevel"/>
    <w:tmpl w:val="4B58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8574D"/>
    <w:multiLevelType w:val="multilevel"/>
    <w:tmpl w:val="D108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82FF7"/>
    <w:multiLevelType w:val="multilevel"/>
    <w:tmpl w:val="B8B0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AE"/>
    <w:rsid w:val="00003DF6"/>
    <w:rsid w:val="00003EB0"/>
    <w:rsid w:val="0005257E"/>
    <w:rsid w:val="00054730"/>
    <w:rsid w:val="00054B3D"/>
    <w:rsid w:val="00064E3B"/>
    <w:rsid w:val="00067D3C"/>
    <w:rsid w:val="00073903"/>
    <w:rsid w:val="00090318"/>
    <w:rsid w:val="0009703A"/>
    <w:rsid w:val="000C3936"/>
    <w:rsid w:val="000F1D5D"/>
    <w:rsid w:val="000F4E7A"/>
    <w:rsid w:val="000F7757"/>
    <w:rsid w:val="001247B7"/>
    <w:rsid w:val="001465E0"/>
    <w:rsid w:val="001510E8"/>
    <w:rsid w:val="001546FD"/>
    <w:rsid w:val="00161FF5"/>
    <w:rsid w:val="0016715A"/>
    <w:rsid w:val="00176AD8"/>
    <w:rsid w:val="0017787A"/>
    <w:rsid w:val="00177955"/>
    <w:rsid w:val="001B4B6D"/>
    <w:rsid w:val="001C0257"/>
    <w:rsid w:val="001C216F"/>
    <w:rsid w:val="001E6C9A"/>
    <w:rsid w:val="002341FD"/>
    <w:rsid w:val="002458D7"/>
    <w:rsid w:val="0025711D"/>
    <w:rsid w:val="002614E6"/>
    <w:rsid w:val="00285ECE"/>
    <w:rsid w:val="002C2854"/>
    <w:rsid w:val="002F2E04"/>
    <w:rsid w:val="002F6EA9"/>
    <w:rsid w:val="002F7B8E"/>
    <w:rsid w:val="003023E5"/>
    <w:rsid w:val="00303B5E"/>
    <w:rsid w:val="003041B7"/>
    <w:rsid w:val="00310904"/>
    <w:rsid w:val="00314781"/>
    <w:rsid w:val="0031652E"/>
    <w:rsid w:val="003245BA"/>
    <w:rsid w:val="00334686"/>
    <w:rsid w:val="003379D7"/>
    <w:rsid w:val="00365117"/>
    <w:rsid w:val="00365787"/>
    <w:rsid w:val="003751CC"/>
    <w:rsid w:val="00384DCE"/>
    <w:rsid w:val="0038727B"/>
    <w:rsid w:val="00387581"/>
    <w:rsid w:val="003A58A5"/>
    <w:rsid w:val="003A675C"/>
    <w:rsid w:val="003C40C8"/>
    <w:rsid w:val="003D6D0A"/>
    <w:rsid w:val="003F4DB9"/>
    <w:rsid w:val="003F72CA"/>
    <w:rsid w:val="00400C95"/>
    <w:rsid w:val="00402207"/>
    <w:rsid w:val="00403E49"/>
    <w:rsid w:val="00437950"/>
    <w:rsid w:val="00446150"/>
    <w:rsid w:val="00450637"/>
    <w:rsid w:val="00474BC8"/>
    <w:rsid w:val="004A2ECC"/>
    <w:rsid w:val="004C269F"/>
    <w:rsid w:val="004D0F97"/>
    <w:rsid w:val="004D1F4E"/>
    <w:rsid w:val="005165A5"/>
    <w:rsid w:val="00516EAD"/>
    <w:rsid w:val="00517761"/>
    <w:rsid w:val="00540532"/>
    <w:rsid w:val="0054211F"/>
    <w:rsid w:val="00562E82"/>
    <w:rsid w:val="005830A0"/>
    <w:rsid w:val="00583E2D"/>
    <w:rsid w:val="00584675"/>
    <w:rsid w:val="005B1A5F"/>
    <w:rsid w:val="0060643C"/>
    <w:rsid w:val="00610E9A"/>
    <w:rsid w:val="00614C39"/>
    <w:rsid w:val="0062759B"/>
    <w:rsid w:val="0064309E"/>
    <w:rsid w:val="00656A6D"/>
    <w:rsid w:val="006617CB"/>
    <w:rsid w:val="0068045C"/>
    <w:rsid w:val="006832D0"/>
    <w:rsid w:val="006866FC"/>
    <w:rsid w:val="006A2F7F"/>
    <w:rsid w:val="006C2946"/>
    <w:rsid w:val="006D0C31"/>
    <w:rsid w:val="006D2E3B"/>
    <w:rsid w:val="006F6369"/>
    <w:rsid w:val="00701758"/>
    <w:rsid w:val="007163A1"/>
    <w:rsid w:val="0072428E"/>
    <w:rsid w:val="0073432D"/>
    <w:rsid w:val="00735D4E"/>
    <w:rsid w:val="00765DCD"/>
    <w:rsid w:val="00790E9D"/>
    <w:rsid w:val="00795E80"/>
    <w:rsid w:val="007A271D"/>
    <w:rsid w:val="007A3DBB"/>
    <w:rsid w:val="007A5E62"/>
    <w:rsid w:val="007A79AE"/>
    <w:rsid w:val="007B3D00"/>
    <w:rsid w:val="007C62AB"/>
    <w:rsid w:val="007D0954"/>
    <w:rsid w:val="007D1E16"/>
    <w:rsid w:val="007D6FF0"/>
    <w:rsid w:val="0081145D"/>
    <w:rsid w:val="0083641A"/>
    <w:rsid w:val="008658C9"/>
    <w:rsid w:val="008A1998"/>
    <w:rsid w:val="008A62C4"/>
    <w:rsid w:val="008B217A"/>
    <w:rsid w:val="008B727E"/>
    <w:rsid w:val="008E7312"/>
    <w:rsid w:val="008F4513"/>
    <w:rsid w:val="008F5C31"/>
    <w:rsid w:val="0095084C"/>
    <w:rsid w:val="0096098D"/>
    <w:rsid w:val="00966B3B"/>
    <w:rsid w:val="00990632"/>
    <w:rsid w:val="0099305A"/>
    <w:rsid w:val="009A5FB6"/>
    <w:rsid w:val="009B2ECE"/>
    <w:rsid w:val="009B6AD1"/>
    <w:rsid w:val="009C17D0"/>
    <w:rsid w:val="009D26E1"/>
    <w:rsid w:val="009E05DB"/>
    <w:rsid w:val="009E1D30"/>
    <w:rsid w:val="009E44F2"/>
    <w:rsid w:val="009E6E0B"/>
    <w:rsid w:val="00A01591"/>
    <w:rsid w:val="00A0236F"/>
    <w:rsid w:val="00A22A6A"/>
    <w:rsid w:val="00A31E97"/>
    <w:rsid w:val="00A37131"/>
    <w:rsid w:val="00A47AF2"/>
    <w:rsid w:val="00A5013B"/>
    <w:rsid w:val="00A6012F"/>
    <w:rsid w:val="00A6632C"/>
    <w:rsid w:val="00AA75D3"/>
    <w:rsid w:val="00AD1B5D"/>
    <w:rsid w:val="00AE1699"/>
    <w:rsid w:val="00AE3CD3"/>
    <w:rsid w:val="00AF2EFA"/>
    <w:rsid w:val="00B054B2"/>
    <w:rsid w:val="00B17098"/>
    <w:rsid w:val="00B36A73"/>
    <w:rsid w:val="00B46CA5"/>
    <w:rsid w:val="00B7646D"/>
    <w:rsid w:val="00B82279"/>
    <w:rsid w:val="00B869B8"/>
    <w:rsid w:val="00BA3958"/>
    <w:rsid w:val="00BC71A5"/>
    <w:rsid w:val="00BD6EAD"/>
    <w:rsid w:val="00BE00AE"/>
    <w:rsid w:val="00BE1447"/>
    <w:rsid w:val="00BE6567"/>
    <w:rsid w:val="00C02316"/>
    <w:rsid w:val="00C275BF"/>
    <w:rsid w:val="00C3494E"/>
    <w:rsid w:val="00C4019A"/>
    <w:rsid w:val="00C445FA"/>
    <w:rsid w:val="00C95E68"/>
    <w:rsid w:val="00CA1AD7"/>
    <w:rsid w:val="00CA53A1"/>
    <w:rsid w:val="00CB3E84"/>
    <w:rsid w:val="00CD2899"/>
    <w:rsid w:val="00CD76C7"/>
    <w:rsid w:val="00CF7178"/>
    <w:rsid w:val="00D11295"/>
    <w:rsid w:val="00D23F3D"/>
    <w:rsid w:val="00D45372"/>
    <w:rsid w:val="00D75D37"/>
    <w:rsid w:val="00D86B24"/>
    <w:rsid w:val="00D874FA"/>
    <w:rsid w:val="00D95E32"/>
    <w:rsid w:val="00DA16AA"/>
    <w:rsid w:val="00DA1D00"/>
    <w:rsid w:val="00DA5DF4"/>
    <w:rsid w:val="00DB4310"/>
    <w:rsid w:val="00DB744B"/>
    <w:rsid w:val="00DE07E6"/>
    <w:rsid w:val="00E00DD9"/>
    <w:rsid w:val="00E27798"/>
    <w:rsid w:val="00E4164B"/>
    <w:rsid w:val="00E41E93"/>
    <w:rsid w:val="00E434C2"/>
    <w:rsid w:val="00E47AF0"/>
    <w:rsid w:val="00E62C09"/>
    <w:rsid w:val="00E648DD"/>
    <w:rsid w:val="00E65172"/>
    <w:rsid w:val="00E7180B"/>
    <w:rsid w:val="00E83BA5"/>
    <w:rsid w:val="00E95A19"/>
    <w:rsid w:val="00E96CD0"/>
    <w:rsid w:val="00E974EC"/>
    <w:rsid w:val="00EA5A82"/>
    <w:rsid w:val="00EB1E36"/>
    <w:rsid w:val="00EC45B1"/>
    <w:rsid w:val="00EC5EFB"/>
    <w:rsid w:val="00EC6DAD"/>
    <w:rsid w:val="00ED78DD"/>
    <w:rsid w:val="00EE016E"/>
    <w:rsid w:val="00EE0DDD"/>
    <w:rsid w:val="00EE3394"/>
    <w:rsid w:val="00EE3C9D"/>
    <w:rsid w:val="00EE5185"/>
    <w:rsid w:val="00EE650F"/>
    <w:rsid w:val="00F11948"/>
    <w:rsid w:val="00F22982"/>
    <w:rsid w:val="00F27A95"/>
    <w:rsid w:val="00F334C9"/>
    <w:rsid w:val="00F35530"/>
    <w:rsid w:val="00F43155"/>
    <w:rsid w:val="00F53AE6"/>
    <w:rsid w:val="00F547AA"/>
    <w:rsid w:val="00F60E62"/>
    <w:rsid w:val="00F6201B"/>
    <w:rsid w:val="00F66E18"/>
    <w:rsid w:val="00F80872"/>
    <w:rsid w:val="00F92064"/>
    <w:rsid w:val="00FA60EB"/>
    <w:rsid w:val="00FB0139"/>
    <w:rsid w:val="00FC0387"/>
    <w:rsid w:val="00FC1315"/>
    <w:rsid w:val="00FE1544"/>
    <w:rsid w:val="00FF3C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TableNormal1">
    <w:name w:val="Table Normal1"/>
    <w:rsid w:val="00735D4E"/>
    <w:tblPr>
      <w:tblCellMar>
        <w:top w:w="0" w:type="dxa"/>
        <w:left w:w="0" w:type="dxa"/>
        <w:bottom w:w="0" w:type="dxa"/>
        <w:right w:w="0" w:type="dxa"/>
      </w:tblCellMar>
    </w:tblPr>
  </w:style>
  <w:style w:type="paragraph" w:styleId="HTMLconformatoprevio">
    <w:name w:val="HTML Preformatted"/>
    <w:basedOn w:val="Normal"/>
    <w:link w:val="HTMLconformatoprevioCar"/>
    <w:uiPriority w:val="99"/>
    <w:semiHidden/>
    <w:unhideWhenUsed/>
    <w:rsid w:val="00EE6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CL" w:eastAsia="es-MX"/>
    </w:rPr>
  </w:style>
  <w:style w:type="character" w:customStyle="1" w:styleId="HTMLconformatoprevioCar">
    <w:name w:val="HTML con formato previo Car"/>
    <w:basedOn w:val="Fuentedeprrafopredeter"/>
    <w:link w:val="HTMLconformatoprevio"/>
    <w:uiPriority w:val="99"/>
    <w:semiHidden/>
    <w:rsid w:val="00EE650F"/>
    <w:rPr>
      <w:rFonts w:ascii="Courier New" w:eastAsia="Times New Roman" w:hAnsi="Courier New" w:cs="Courier New"/>
      <w:sz w:val="20"/>
      <w:szCs w:val="20"/>
      <w:lang w:val="es-C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TableNormal1">
    <w:name w:val="Table Normal1"/>
    <w:rsid w:val="00735D4E"/>
    <w:tblPr>
      <w:tblCellMar>
        <w:top w:w="0" w:type="dxa"/>
        <w:left w:w="0" w:type="dxa"/>
        <w:bottom w:w="0" w:type="dxa"/>
        <w:right w:w="0" w:type="dxa"/>
      </w:tblCellMar>
    </w:tblPr>
  </w:style>
  <w:style w:type="paragraph" w:styleId="HTMLconformatoprevio">
    <w:name w:val="HTML Preformatted"/>
    <w:basedOn w:val="Normal"/>
    <w:link w:val="HTMLconformatoprevioCar"/>
    <w:uiPriority w:val="99"/>
    <w:semiHidden/>
    <w:unhideWhenUsed/>
    <w:rsid w:val="00EE6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CL" w:eastAsia="es-MX"/>
    </w:rPr>
  </w:style>
  <w:style w:type="character" w:customStyle="1" w:styleId="HTMLconformatoprevioCar">
    <w:name w:val="HTML con formato previo Car"/>
    <w:basedOn w:val="Fuentedeprrafopredeter"/>
    <w:link w:val="HTMLconformatoprevio"/>
    <w:uiPriority w:val="99"/>
    <w:semiHidden/>
    <w:rsid w:val="00EE650F"/>
    <w:rPr>
      <w:rFonts w:ascii="Courier New" w:eastAsia="Times New Roman" w:hAnsi="Courier New" w:cs="Courier New"/>
      <w:sz w:val="20"/>
      <w:szCs w:val="20"/>
      <w:lang w:val="es-C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8608">
      <w:bodyDiv w:val="1"/>
      <w:marLeft w:val="0"/>
      <w:marRight w:val="0"/>
      <w:marTop w:val="0"/>
      <w:marBottom w:val="0"/>
      <w:divBdr>
        <w:top w:val="none" w:sz="0" w:space="0" w:color="auto"/>
        <w:left w:val="none" w:sz="0" w:space="0" w:color="auto"/>
        <w:bottom w:val="none" w:sz="0" w:space="0" w:color="auto"/>
        <w:right w:val="none" w:sz="0" w:space="0" w:color="auto"/>
      </w:divBdr>
    </w:div>
    <w:div w:id="517543639">
      <w:bodyDiv w:val="1"/>
      <w:marLeft w:val="0"/>
      <w:marRight w:val="0"/>
      <w:marTop w:val="0"/>
      <w:marBottom w:val="0"/>
      <w:divBdr>
        <w:top w:val="none" w:sz="0" w:space="0" w:color="auto"/>
        <w:left w:val="none" w:sz="0" w:space="0" w:color="auto"/>
        <w:bottom w:val="none" w:sz="0" w:space="0" w:color="auto"/>
        <w:right w:val="none" w:sz="0" w:space="0" w:color="auto"/>
      </w:divBdr>
    </w:div>
    <w:div w:id="1296179104">
      <w:bodyDiv w:val="1"/>
      <w:marLeft w:val="0"/>
      <w:marRight w:val="0"/>
      <w:marTop w:val="0"/>
      <w:marBottom w:val="0"/>
      <w:divBdr>
        <w:top w:val="none" w:sz="0" w:space="0" w:color="auto"/>
        <w:left w:val="none" w:sz="0" w:space="0" w:color="auto"/>
        <w:bottom w:val="none" w:sz="0" w:space="0" w:color="auto"/>
        <w:right w:val="none" w:sz="0" w:space="0" w:color="auto"/>
      </w:divBdr>
    </w:div>
    <w:div w:id="1425420864">
      <w:bodyDiv w:val="1"/>
      <w:marLeft w:val="0"/>
      <w:marRight w:val="0"/>
      <w:marTop w:val="0"/>
      <w:marBottom w:val="0"/>
      <w:divBdr>
        <w:top w:val="none" w:sz="0" w:space="0" w:color="auto"/>
        <w:left w:val="none" w:sz="0" w:space="0" w:color="auto"/>
        <w:bottom w:val="none" w:sz="0" w:space="0" w:color="auto"/>
        <w:right w:val="none" w:sz="0" w:space="0" w:color="auto"/>
      </w:divBdr>
    </w:div>
    <w:div w:id="2132550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1636</Words>
  <Characters>9004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Portátil</dc:creator>
  <cp:lastModifiedBy>usuario</cp:lastModifiedBy>
  <cp:revision>2</cp:revision>
  <dcterms:created xsi:type="dcterms:W3CDTF">2020-09-17T14:27:00Z</dcterms:created>
  <dcterms:modified xsi:type="dcterms:W3CDTF">2020-09-17T14:27:00Z</dcterms:modified>
</cp:coreProperties>
</file>