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AC5F6" w14:textId="77777777" w:rsidR="007E1768" w:rsidRPr="00707D6E" w:rsidRDefault="007E1768" w:rsidP="008A70CB">
      <w:pPr>
        <w:spacing w:line="360" w:lineRule="auto"/>
        <w:rPr>
          <w:rFonts w:ascii="Arial" w:hAnsi="Arial" w:cs="Arial"/>
          <w:lang w:val="es-ES"/>
        </w:rPr>
      </w:pPr>
    </w:p>
    <w:p w14:paraId="5631FDA9" w14:textId="77777777" w:rsidR="007E1768" w:rsidRPr="00707D6E" w:rsidRDefault="007E1768" w:rsidP="008A70CB">
      <w:pPr>
        <w:spacing w:line="360" w:lineRule="auto"/>
        <w:rPr>
          <w:rFonts w:ascii="Arial" w:hAnsi="Arial" w:cs="Arial"/>
          <w:lang w:val="es-ES"/>
        </w:rPr>
      </w:pPr>
    </w:p>
    <w:p w14:paraId="7CE9B39A" w14:textId="09559436" w:rsidR="007E1768" w:rsidRPr="00707D6E" w:rsidRDefault="007E1768" w:rsidP="008A70CB">
      <w:pPr>
        <w:spacing w:line="360" w:lineRule="auto"/>
        <w:rPr>
          <w:rFonts w:ascii="Arial" w:hAnsi="Arial" w:cs="Arial"/>
          <w:lang w:val="es-ES"/>
        </w:rPr>
      </w:pPr>
    </w:p>
    <w:p w14:paraId="33239D2E" w14:textId="7851C513" w:rsidR="00E83B75" w:rsidRPr="00707D6E" w:rsidRDefault="00E83B75" w:rsidP="008A70CB">
      <w:pPr>
        <w:spacing w:line="360" w:lineRule="auto"/>
        <w:rPr>
          <w:rFonts w:ascii="Arial" w:hAnsi="Arial" w:cs="Arial"/>
          <w:lang w:val="es-ES"/>
        </w:rPr>
      </w:pPr>
    </w:p>
    <w:p w14:paraId="74026229" w14:textId="1A7CAD44" w:rsidR="00E83B75" w:rsidRPr="00707D6E" w:rsidRDefault="00E83B75" w:rsidP="008A70CB">
      <w:pPr>
        <w:spacing w:line="360" w:lineRule="auto"/>
        <w:rPr>
          <w:rFonts w:ascii="Arial" w:hAnsi="Arial" w:cs="Arial"/>
          <w:lang w:val="es-ES"/>
        </w:rPr>
      </w:pPr>
    </w:p>
    <w:p w14:paraId="3C0FD29C" w14:textId="77777777" w:rsidR="00E83B75" w:rsidRPr="00707D6E" w:rsidRDefault="00E83B75" w:rsidP="008A70CB">
      <w:pPr>
        <w:spacing w:line="360" w:lineRule="auto"/>
        <w:rPr>
          <w:rFonts w:ascii="Arial" w:hAnsi="Arial" w:cs="Arial"/>
          <w:lang w:val="es-ES"/>
        </w:rPr>
      </w:pPr>
    </w:p>
    <w:p w14:paraId="14C6BE3F" w14:textId="738CB6E6" w:rsidR="00423E41" w:rsidRPr="0048739D" w:rsidRDefault="003A3BA9" w:rsidP="00D349EF">
      <w:pPr>
        <w:spacing w:line="360" w:lineRule="auto"/>
        <w:jc w:val="center"/>
        <w:rPr>
          <w:rFonts w:ascii="Arial" w:hAnsi="Arial" w:cs="Arial"/>
          <w:b/>
          <w:bCs/>
          <w:lang w:val="es-ES"/>
        </w:rPr>
      </w:pPr>
      <w:r w:rsidRPr="0048739D">
        <w:rPr>
          <w:rFonts w:ascii="Arial" w:hAnsi="Arial" w:cs="Arial"/>
          <w:b/>
          <w:bCs/>
          <w:lang w:val="es-ES"/>
        </w:rPr>
        <w:t xml:space="preserve">Actualización </w:t>
      </w:r>
      <w:r w:rsidR="00704CBD">
        <w:rPr>
          <w:rFonts w:ascii="Arial" w:hAnsi="Arial" w:cs="Arial"/>
          <w:b/>
          <w:bCs/>
          <w:lang w:val="es-ES"/>
        </w:rPr>
        <w:t>en el</w:t>
      </w:r>
      <w:r w:rsidRPr="0048739D">
        <w:rPr>
          <w:rFonts w:ascii="Arial" w:hAnsi="Arial" w:cs="Arial"/>
          <w:b/>
          <w:bCs/>
          <w:lang w:val="es-ES"/>
        </w:rPr>
        <w:t xml:space="preserve"> uso del PET/CT en sarcoma de </w:t>
      </w:r>
      <w:proofErr w:type="spellStart"/>
      <w:r w:rsidRPr="0048739D">
        <w:rPr>
          <w:rFonts w:ascii="Arial" w:hAnsi="Arial" w:cs="Arial"/>
          <w:b/>
          <w:bCs/>
          <w:lang w:val="es-ES"/>
        </w:rPr>
        <w:t>Ewing</w:t>
      </w:r>
      <w:proofErr w:type="spellEnd"/>
      <w:r w:rsidRPr="0048739D">
        <w:rPr>
          <w:rFonts w:ascii="Arial" w:hAnsi="Arial" w:cs="Arial"/>
          <w:b/>
          <w:bCs/>
          <w:lang w:val="es-ES"/>
        </w:rPr>
        <w:t>, a propósito de un caso</w:t>
      </w:r>
    </w:p>
    <w:p w14:paraId="0A385CBB" w14:textId="39DB87B2" w:rsidR="003A3BA9" w:rsidRPr="00707D6E" w:rsidRDefault="00D349EF" w:rsidP="00D349EF">
      <w:pPr>
        <w:spacing w:line="360" w:lineRule="auto"/>
        <w:jc w:val="center"/>
        <w:rPr>
          <w:rFonts w:ascii="Arial" w:hAnsi="Arial" w:cs="Arial"/>
          <w:lang w:val="es-ES"/>
        </w:rPr>
      </w:pPr>
      <w:r>
        <w:rPr>
          <w:rFonts w:ascii="Arial" w:hAnsi="Arial" w:cs="Arial"/>
          <w:lang w:val="es-ES"/>
        </w:rPr>
        <w:t xml:space="preserve">PET/CT en sarcoma de </w:t>
      </w:r>
      <w:proofErr w:type="spellStart"/>
      <w:r>
        <w:rPr>
          <w:rFonts w:ascii="Arial" w:hAnsi="Arial" w:cs="Arial"/>
          <w:lang w:val="es-ES"/>
        </w:rPr>
        <w:t>Ewing</w:t>
      </w:r>
      <w:proofErr w:type="spellEnd"/>
    </w:p>
    <w:p w14:paraId="2F4A1B85" w14:textId="69FF5A87" w:rsidR="003A3BA9" w:rsidRPr="00707D6E" w:rsidRDefault="003A3BA9" w:rsidP="008A70CB">
      <w:pPr>
        <w:spacing w:line="360" w:lineRule="auto"/>
        <w:rPr>
          <w:rFonts w:ascii="Arial" w:hAnsi="Arial" w:cs="Arial"/>
          <w:lang w:val="es-ES"/>
        </w:rPr>
      </w:pPr>
    </w:p>
    <w:p w14:paraId="490E8FE3" w14:textId="77777777" w:rsidR="003A3BA9" w:rsidRPr="00707D6E" w:rsidRDefault="003A3BA9" w:rsidP="008A70CB">
      <w:pPr>
        <w:spacing w:line="360" w:lineRule="auto"/>
        <w:rPr>
          <w:rFonts w:ascii="Arial" w:hAnsi="Arial" w:cs="Arial"/>
          <w:lang w:val="es-ES"/>
        </w:rPr>
      </w:pPr>
    </w:p>
    <w:p w14:paraId="4EB2D7BF" w14:textId="38AFF17F" w:rsidR="004F5516" w:rsidRPr="00707D6E" w:rsidRDefault="004F5516" w:rsidP="008A70CB">
      <w:pPr>
        <w:spacing w:line="360" w:lineRule="auto"/>
        <w:rPr>
          <w:rFonts w:ascii="Arial" w:hAnsi="Arial" w:cs="Arial"/>
          <w:lang w:val="es-ES"/>
        </w:rPr>
      </w:pPr>
      <w:r w:rsidRPr="00707D6E">
        <w:rPr>
          <w:rFonts w:ascii="Arial" w:hAnsi="Arial" w:cs="Arial"/>
          <w:lang w:val="es-ES"/>
        </w:rPr>
        <w:t>Daniela Barahona Z</w:t>
      </w:r>
      <w:proofErr w:type="gramStart"/>
      <w:r w:rsidRPr="00707D6E">
        <w:rPr>
          <w:rFonts w:ascii="Arial" w:hAnsi="Arial" w:cs="Arial"/>
          <w:lang w:val="es-ES"/>
        </w:rPr>
        <w:t>.</w:t>
      </w:r>
      <w:r w:rsidR="003E5C34" w:rsidRPr="00707D6E">
        <w:rPr>
          <w:rFonts w:ascii="Arial" w:hAnsi="Arial" w:cs="Arial"/>
          <w:vertAlign w:val="superscript"/>
          <w:lang w:val="es-ES"/>
        </w:rPr>
        <w:t>(</w:t>
      </w:r>
      <w:proofErr w:type="gramEnd"/>
      <w:r w:rsidR="003E5C34" w:rsidRPr="00707D6E">
        <w:rPr>
          <w:rFonts w:ascii="Arial" w:hAnsi="Arial" w:cs="Arial"/>
          <w:vertAlign w:val="superscript"/>
          <w:lang w:val="es-ES"/>
        </w:rPr>
        <w:t>1)</w:t>
      </w:r>
      <w:r w:rsidR="002C4E6F" w:rsidRPr="00707D6E">
        <w:rPr>
          <w:rFonts w:ascii="Arial" w:hAnsi="Arial" w:cs="Arial"/>
          <w:lang w:val="es-ES"/>
        </w:rPr>
        <w:t xml:space="preserve">, Isabel </w:t>
      </w:r>
      <w:proofErr w:type="spellStart"/>
      <w:r w:rsidR="002C4E6F" w:rsidRPr="00707D6E">
        <w:rPr>
          <w:rFonts w:ascii="Arial" w:hAnsi="Arial" w:cs="Arial"/>
          <w:lang w:val="es-ES"/>
        </w:rPr>
        <w:t>Adlerstein</w:t>
      </w:r>
      <w:proofErr w:type="spellEnd"/>
      <w:r w:rsidR="002C4E6F" w:rsidRPr="00707D6E">
        <w:rPr>
          <w:rFonts w:ascii="Arial" w:hAnsi="Arial" w:cs="Arial"/>
          <w:lang w:val="es-ES"/>
        </w:rPr>
        <w:t xml:space="preserve"> </w:t>
      </w:r>
      <w:r w:rsidR="007D39A9" w:rsidRPr="00707D6E">
        <w:rPr>
          <w:rFonts w:ascii="Arial" w:hAnsi="Arial" w:cs="Arial"/>
          <w:lang w:val="es-ES"/>
        </w:rPr>
        <w:t>L.</w:t>
      </w:r>
      <w:r w:rsidR="007D39A9" w:rsidRPr="00707D6E">
        <w:rPr>
          <w:rFonts w:ascii="Arial" w:hAnsi="Arial" w:cs="Arial"/>
          <w:vertAlign w:val="superscript"/>
          <w:lang w:val="es-ES"/>
        </w:rPr>
        <w:t>(</w:t>
      </w:r>
      <w:r w:rsidR="00542C40">
        <w:rPr>
          <w:rFonts w:ascii="Arial" w:hAnsi="Arial" w:cs="Arial"/>
          <w:vertAlign w:val="superscript"/>
          <w:lang w:val="es-ES"/>
        </w:rPr>
        <w:t>1,a</w:t>
      </w:r>
      <w:r w:rsidR="007D39A9" w:rsidRPr="00707D6E">
        <w:rPr>
          <w:rFonts w:ascii="Arial" w:hAnsi="Arial" w:cs="Arial"/>
          <w:vertAlign w:val="superscript"/>
          <w:lang w:val="es-ES"/>
        </w:rPr>
        <w:t>)</w:t>
      </w:r>
      <w:r w:rsidR="007D39A9" w:rsidRPr="00707D6E">
        <w:rPr>
          <w:rFonts w:ascii="Arial" w:hAnsi="Arial" w:cs="Arial"/>
          <w:lang w:val="es-ES"/>
        </w:rPr>
        <w:t xml:space="preserve">, María Ignacia </w:t>
      </w:r>
      <w:proofErr w:type="spellStart"/>
      <w:r w:rsidR="007D39A9" w:rsidRPr="00707D6E">
        <w:rPr>
          <w:rFonts w:ascii="Arial" w:hAnsi="Arial" w:cs="Arial"/>
          <w:lang w:val="es-ES"/>
        </w:rPr>
        <w:t>Faure</w:t>
      </w:r>
      <w:proofErr w:type="spellEnd"/>
      <w:r w:rsidR="00342D03" w:rsidRPr="00707D6E">
        <w:rPr>
          <w:rFonts w:ascii="Arial" w:hAnsi="Arial" w:cs="Arial"/>
          <w:lang w:val="es-ES"/>
        </w:rPr>
        <w:t xml:space="preserve"> R.</w:t>
      </w:r>
      <w:r w:rsidR="00FF33AD" w:rsidRPr="00707D6E">
        <w:rPr>
          <w:rFonts w:ascii="Arial" w:hAnsi="Arial" w:cs="Arial"/>
          <w:vertAlign w:val="superscript"/>
          <w:lang w:val="es-ES"/>
        </w:rPr>
        <w:t>(</w:t>
      </w:r>
      <w:r w:rsidR="00542C40">
        <w:rPr>
          <w:rFonts w:ascii="Arial" w:hAnsi="Arial" w:cs="Arial"/>
          <w:vertAlign w:val="superscript"/>
          <w:lang w:val="es-ES"/>
        </w:rPr>
        <w:t>1,a</w:t>
      </w:r>
      <w:r w:rsidR="00FF33AD" w:rsidRPr="00707D6E">
        <w:rPr>
          <w:rFonts w:ascii="Arial" w:hAnsi="Arial" w:cs="Arial"/>
          <w:vertAlign w:val="superscript"/>
          <w:lang w:val="es-ES"/>
        </w:rPr>
        <w:t>)</w:t>
      </w:r>
    </w:p>
    <w:p w14:paraId="3E0BA3E3" w14:textId="77777777" w:rsidR="004F5516" w:rsidRPr="00707D6E" w:rsidRDefault="004F5516" w:rsidP="008A70CB">
      <w:pPr>
        <w:spacing w:line="360" w:lineRule="auto"/>
        <w:rPr>
          <w:rFonts w:ascii="Arial" w:hAnsi="Arial" w:cs="Arial"/>
          <w:vertAlign w:val="superscript"/>
          <w:lang w:val="es-ES"/>
        </w:rPr>
      </w:pPr>
    </w:p>
    <w:p w14:paraId="5F9B0BB6" w14:textId="2FBE8222" w:rsidR="004F5516" w:rsidRPr="00707D6E" w:rsidRDefault="00B56536" w:rsidP="008A70CB">
      <w:pPr>
        <w:pStyle w:val="Prrafodelista"/>
        <w:numPr>
          <w:ilvl w:val="0"/>
          <w:numId w:val="1"/>
        </w:numPr>
        <w:spacing w:line="360" w:lineRule="auto"/>
        <w:rPr>
          <w:rFonts w:ascii="Arial" w:hAnsi="Arial" w:cs="Arial"/>
          <w:lang w:val="es-ES"/>
        </w:rPr>
      </w:pPr>
      <w:r>
        <w:rPr>
          <w:rFonts w:ascii="Arial" w:hAnsi="Arial" w:cs="Arial"/>
          <w:lang w:val="es-ES"/>
        </w:rPr>
        <w:t xml:space="preserve">Departamento de </w:t>
      </w:r>
      <w:proofErr w:type="spellStart"/>
      <w:r>
        <w:rPr>
          <w:rFonts w:ascii="Arial" w:hAnsi="Arial" w:cs="Arial"/>
          <w:lang w:val="es-ES"/>
        </w:rPr>
        <w:t>Imagenología</w:t>
      </w:r>
      <w:proofErr w:type="spellEnd"/>
      <w:r>
        <w:rPr>
          <w:rFonts w:ascii="Arial" w:hAnsi="Arial" w:cs="Arial"/>
          <w:lang w:val="es-ES"/>
        </w:rPr>
        <w:t xml:space="preserve">, </w:t>
      </w:r>
      <w:r w:rsidR="00667DC3" w:rsidRPr="00707D6E">
        <w:rPr>
          <w:rFonts w:ascii="Arial" w:hAnsi="Arial" w:cs="Arial"/>
          <w:lang w:val="es-ES"/>
        </w:rPr>
        <w:t>Facultad de Medicina Clínica Alemana</w:t>
      </w:r>
      <w:r w:rsidR="00667DC3">
        <w:rPr>
          <w:rFonts w:ascii="Arial" w:hAnsi="Arial" w:cs="Arial"/>
          <w:lang w:val="es-ES"/>
        </w:rPr>
        <w:t>-</w:t>
      </w:r>
      <w:r w:rsidR="004F5516" w:rsidRPr="00707D6E">
        <w:rPr>
          <w:rFonts w:ascii="Arial" w:hAnsi="Arial" w:cs="Arial"/>
          <w:lang w:val="es-ES"/>
        </w:rPr>
        <w:t>Universidad del Desarrollo</w:t>
      </w:r>
      <w:r w:rsidR="00843570">
        <w:rPr>
          <w:rFonts w:ascii="Arial" w:hAnsi="Arial" w:cs="Arial"/>
          <w:lang w:val="es-ES"/>
        </w:rPr>
        <w:t>. Santiago</w:t>
      </w:r>
      <w:r w:rsidR="004F5516" w:rsidRPr="00707D6E">
        <w:rPr>
          <w:rFonts w:ascii="Arial" w:hAnsi="Arial" w:cs="Arial"/>
          <w:lang w:val="es-ES"/>
        </w:rPr>
        <w:t>, Chile</w:t>
      </w:r>
      <w:r w:rsidR="00C52587" w:rsidRPr="00707D6E">
        <w:rPr>
          <w:rFonts w:ascii="Arial" w:hAnsi="Arial" w:cs="Arial"/>
          <w:lang w:val="es-ES"/>
        </w:rPr>
        <w:t>.</w:t>
      </w:r>
      <w:r w:rsidR="00790369" w:rsidRPr="00707D6E">
        <w:rPr>
          <w:rFonts w:ascii="Arial" w:hAnsi="Arial" w:cs="Arial"/>
          <w:lang w:val="es-ES"/>
        </w:rPr>
        <w:t xml:space="preserve"> </w:t>
      </w:r>
    </w:p>
    <w:p w14:paraId="77EFDB19" w14:textId="5A35E319" w:rsidR="00E51E3D" w:rsidRPr="00542C40" w:rsidRDefault="00542C40" w:rsidP="00542C40">
      <w:pPr>
        <w:pStyle w:val="Prrafodelista"/>
        <w:numPr>
          <w:ilvl w:val="0"/>
          <w:numId w:val="4"/>
        </w:numPr>
        <w:spacing w:line="360" w:lineRule="auto"/>
        <w:rPr>
          <w:rFonts w:ascii="Arial" w:hAnsi="Arial" w:cs="Arial"/>
          <w:lang w:val="es-ES"/>
        </w:rPr>
      </w:pPr>
      <w:r w:rsidRPr="00542C40">
        <w:rPr>
          <w:rFonts w:ascii="Arial" w:hAnsi="Arial" w:cs="Arial"/>
          <w:lang w:val="es-ES"/>
        </w:rPr>
        <w:t>Residente de Radiología</w:t>
      </w:r>
    </w:p>
    <w:p w14:paraId="5A1D338F" w14:textId="77777777" w:rsidR="004F5516" w:rsidRPr="00707D6E" w:rsidRDefault="004F5516" w:rsidP="008A70CB">
      <w:pPr>
        <w:spacing w:line="360" w:lineRule="auto"/>
        <w:rPr>
          <w:rFonts w:ascii="Arial" w:hAnsi="Arial" w:cs="Arial"/>
          <w:lang w:val="es-ES"/>
        </w:rPr>
      </w:pPr>
    </w:p>
    <w:p w14:paraId="2D4FEB1D" w14:textId="76E2FC38" w:rsidR="004F5516" w:rsidRDefault="004F5516" w:rsidP="008A70CB">
      <w:pPr>
        <w:spacing w:line="360" w:lineRule="auto"/>
        <w:rPr>
          <w:rFonts w:ascii="Arial" w:hAnsi="Arial" w:cs="Arial"/>
          <w:lang w:val="es-ES"/>
        </w:rPr>
      </w:pPr>
    </w:p>
    <w:p w14:paraId="4B2266F8" w14:textId="77777777" w:rsidR="00412F43" w:rsidRDefault="00412F43" w:rsidP="008A70CB">
      <w:pPr>
        <w:spacing w:line="360" w:lineRule="auto"/>
        <w:rPr>
          <w:rFonts w:ascii="Arial" w:hAnsi="Arial" w:cs="Arial"/>
          <w:lang w:val="es-ES"/>
        </w:rPr>
      </w:pPr>
    </w:p>
    <w:p w14:paraId="150E38BD" w14:textId="77777777" w:rsidR="00412F43" w:rsidRPr="00707D6E" w:rsidRDefault="00412F43" w:rsidP="008A70CB">
      <w:pPr>
        <w:spacing w:line="360" w:lineRule="auto"/>
        <w:rPr>
          <w:rFonts w:ascii="Arial" w:hAnsi="Arial" w:cs="Arial"/>
          <w:lang w:val="es-ES"/>
        </w:rPr>
      </w:pPr>
    </w:p>
    <w:p w14:paraId="6DFB7C2B" w14:textId="74E57FE7" w:rsidR="004F5516" w:rsidRDefault="00151369" w:rsidP="008A70CB">
      <w:pPr>
        <w:spacing w:line="360" w:lineRule="auto"/>
        <w:rPr>
          <w:rFonts w:ascii="Arial" w:hAnsi="Arial" w:cs="Arial"/>
          <w:lang w:val="es-ES"/>
        </w:rPr>
      </w:pPr>
      <w:r>
        <w:rPr>
          <w:rFonts w:ascii="Arial" w:hAnsi="Arial" w:cs="Arial"/>
          <w:lang w:val="es-ES"/>
        </w:rPr>
        <w:t>Daniela Barahona Zuleta</w:t>
      </w:r>
    </w:p>
    <w:p w14:paraId="2368B12A" w14:textId="5CEBB0F8" w:rsidR="00151369" w:rsidRDefault="00D74D6A" w:rsidP="008A70CB">
      <w:pPr>
        <w:spacing w:line="360" w:lineRule="auto"/>
        <w:rPr>
          <w:rFonts w:ascii="Arial" w:hAnsi="Arial" w:cs="Arial"/>
          <w:lang w:val="es-ES"/>
        </w:rPr>
      </w:pPr>
      <w:r>
        <w:rPr>
          <w:rFonts w:ascii="Arial" w:hAnsi="Arial" w:cs="Arial"/>
          <w:lang w:val="es-ES"/>
        </w:rPr>
        <w:t>Av. Vitacura 5951, Vitacura, Santiago, Chile</w:t>
      </w:r>
    </w:p>
    <w:p w14:paraId="58F10338" w14:textId="0D9CDA20" w:rsidR="00412F43" w:rsidRDefault="00412F43" w:rsidP="008A70CB">
      <w:pPr>
        <w:spacing w:line="360" w:lineRule="auto"/>
        <w:rPr>
          <w:rFonts w:ascii="Arial" w:hAnsi="Arial" w:cs="Arial"/>
          <w:lang w:val="es-ES"/>
        </w:rPr>
      </w:pPr>
      <w:r>
        <w:rPr>
          <w:rFonts w:ascii="Arial" w:hAnsi="Arial" w:cs="Arial"/>
          <w:lang w:val="es-ES"/>
        </w:rPr>
        <w:t>+56 9 66274111</w:t>
      </w:r>
    </w:p>
    <w:p w14:paraId="038E24D6" w14:textId="3088F4A8" w:rsidR="00D74D6A" w:rsidRPr="00707D6E" w:rsidRDefault="00D74D6A" w:rsidP="008A70CB">
      <w:pPr>
        <w:spacing w:line="360" w:lineRule="auto"/>
        <w:rPr>
          <w:rFonts w:ascii="Arial" w:hAnsi="Arial" w:cs="Arial"/>
          <w:lang w:val="es-ES"/>
        </w:rPr>
      </w:pPr>
      <w:r>
        <w:rPr>
          <w:rFonts w:ascii="Arial" w:hAnsi="Arial" w:cs="Arial"/>
          <w:lang w:val="es-ES"/>
        </w:rPr>
        <w:t>danibarahona@gmail.com</w:t>
      </w:r>
    </w:p>
    <w:p w14:paraId="63D76625" w14:textId="77777777" w:rsidR="004F5516" w:rsidRPr="00707D6E" w:rsidRDefault="004F5516" w:rsidP="008A70CB">
      <w:pPr>
        <w:spacing w:line="360" w:lineRule="auto"/>
        <w:rPr>
          <w:rFonts w:ascii="Arial" w:hAnsi="Arial" w:cs="Arial"/>
          <w:lang w:val="es-ES"/>
        </w:rPr>
      </w:pPr>
    </w:p>
    <w:p w14:paraId="59768244" w14:textId="2C2F96D9" w:rsidR="004F5516" w:rsidRDefault="004F5516" w:rsidP="008A70CB">
      <w:pPr>
        <w:spacing w:line="360" w:lineRule="auto"/>
        <w:rPr>
          <w:rFonts w:ascii="Arial" w:hAnsi="Arial" w:cs="Arial"/>
          <w:lang w:val="es-ES"/>
        </w:rPr>
      </w:pPr>
    </w:p>
    <w:p w14:paraId="38BADA0D" w14:textId="77777777" w:rsidR="00D8654D" w:rsidRPr="00707D6E" w:rsidRDefault="00D8654D" w:rsidP="008A70CB">
      <w:pPr>
        <w:spacing w:line="360" w:lineRule="auto"/>
        <w:rPr>
          <w:rFonts w:ascii="Arial" w:hAnsi="Arial" w:cs="Arial"/>
          <w:lang w:val="es-ES"/>
        </w:rPr>
      </w:pPr>
    </w:p>
    <w:p w14:paraId="038528F2" w14:textId="4BB562F2" w:rsidR="00E83B75" w:rsidRDefault="0057086B" w:rsidP="008A70CB">
      <w:pPr>
        <w:spacing w:line="360" w:lineRule="auto"/>
        <w:rPr>
          <w:rFonts w:ascii="Arial" w:hAnsi="Arial" w:cs="Arial"/>
          <w:lang w:val="es-ES"/>
        </w:rPr>
      </w:pPr>
      <w:r>
        <w:rPr>
          <w:rFonts w:ascii="Arial" w:hAnsi="Arial" w:cs="Arial"/>
          <w:lang w:val="es-ES"/>
        </w:rPr>
        <w:t>2 figuras</w:t>
      </w:r>
    </w:p>
    <w:p w14:paraId="08A1AC11" w14:textId="6C5CD342" w:rsidR="000D5CAE" w:rsidRDefault="000D5CAE" w:rsidP="008A70CB">
      <w:pPr>
        <w:spacing w:line="360" w:lineRule="auto"/>
        <w:rPr>
          <w:rFonts w:ascii="Arial" w:hAnsi="Arial" w:cs="Arial"/>
          <w:lang w:val="es-ES"/>
        </w:rPr>
      </w:pPr>
      <w:r>
        <w:rPr>
          <w:rFonts w:ascii="Arial" w:hAnsi="Arial" w:cs="Arial"/>
          <w:lang w:val="es-ES"/>
        </w:rPr>
        <w:t>Recuento computacional de palabras</w:t>
      </w:r>
      <w:r w:rsidR="00D8654D">
        <w:rPr>
          <w:rFonts w:ascii="Arial" w:hAnsi="Arial" w:cs="Arial"/>
          <w:lang w:val="es-ES"/>
        </w:rPr>
        <w:t xml:space="preserve">: </w:t>
      </w:r>
      <w:r w:rsidR="00B37B57">
        <w:rPr>
          <w:rFonts w:ascii="Arial" w:hAnsi="Arial" w:cs="Arial"/>
          <w:lang w:val="es-ES"/>
        </w:rPr>
        <w:t>1027</w:t>
      </w:r>
    </w:p>
    <w:p w14:paraId="2CA399FB" w14:textId="77777777" w:rsidR="00E83B75" w:rsidRPr="00707D6E" w:rsidRDefault="00E83B75" w:rsidP="008A70CB">
      <w:pPr>
        <w:spacing w:line="360" w:lineRule="auto"/>
        <w:rPr>
          <w:rFonts w:ascii="Arial" w:hAnsi="Arial" w:cs="Arial"/>
          <w:lang w:val="es-ES"/>
        </w:rPr>
      </w:pPr>
    </w:p>
    <w:p w14:paraId="294486D0" w14:textId="49453460" w:rsidR="00281D1B" w:rsidRPr="00707D6E" w:rsidRDefault="003A3BA9" w:rsidP="008A70CB">
      <w:pPr>
        <w:spacing w:line="360" w:lineRule="auto"/>
        <w:rPr>
          <w:rFonts w:ascii="Arial" w:hAnsi="Arial" w:cs="Arial"/>
          <w:b/>
          <w:bCs/>
          <w:lang w:val="es-ES"/>
        </w:rPr>
      </w:pPr>
      <w:r w:rsidRPr="00707D6E">
        <w:rPr>
          <w:rFonts w:ascii="Arial" w:hAnsi="Arial" w:cs="Arial"/>
          <w:b/>
          <w:bCs/>
          <w:lang w:val="es-ES"/>
        </w:rPr>
        <w:lastRenderedPageBreak/>
        <w:t>Resumen</w:t>
      </w:r>
    </w:p>
    <w:p w14:paraId="44F49A27" w14:textId="7DBA4AB7" w:rsidR="00E80642" w:rsidRPr="00707D6E" w:rsidRDefault="00E80642" w:rsidP="008A70CB">
      <w:pPr>
        <w:spacing w:line="360" w:lineRule="auto"/>
        <w:rPr>
          <w:rFonts w:ascii="Arial" w:hAnsi="Arial" w:cs="Arial"/>
          <w:lang w:val="es-ES"/>
        </w:rPr>
      </w:pPr>
      <w:r w:rsidRPr="00707D6E">
        <w:rPr>
          <w:rFonts w:ascii="Arial" w:hAnsi="Arial" w:cs="Arial"/>
          <w:lang w:val="es-ES"/>
        </w:rPr>
        <w:t>El uso de</w:t>
      </w:r>
      <w:r w:rsidR="002D5E46" w:rsidRPr="00707D6E">
        <w:rPr>
          <w:rFonts w:ascii="Arial" w:hAnsi="Arial" w:cs="Arial"/>
          <w:lang w:val="es-ES"/>
        </w:rPr>
        <w:t xml:space="preserve"> la tomografía por emisión de positrones </w:t>
      </w:r>
      <w:r w:rsidR="009F53B7" w:rsidRPr="00707D6E">
        <w:rPr>
          <w:rFonts w:ascii="Arial" w:hAnsi="Arial" w:cs="Arial"/>
          <w:lang w:val="es-ES"/>
        </w:rPr>
        <w:t>con tomografía computada</w:t>
      </w:r>
      <w:r w:rsidRPr="00707D6E">
        <w:rPr>
          <w:rFonts w:ascii="Arial" w:hAnsi="Arial" w:cs="Arial"/>
          <w:lang w:val="es-ES"/>
        </w:rPr>
        <w:t xml:space="preserve"> </w:t>
      </w:r>
      <w:r w:rsidR="009F53B7" w:rsidRPr="00707D6E">
        <w:rPr>
          <w:rFonts w:ascii="Arial" w:hAnsi="Arial" w:cs="Arial"/>
          <w:lang w:val="es-ES"/>
        </w:rPr>
        <w:t>(</w:t>
      </w:r>
      <w:r w:rsidRPr="00707D6E">
        <w:rPr>
          <w:rFonts w:ascii="Arial" w:hAnsi="Arial" w:cs="Arial"/>
          <w:lang w:val="es-ES"/>
        </w:rPr>
        <w:t>PET</w:t>
      </w:r>
      <w:r w:rsidR="009F53B7" w:rsidRPr="00707D6E">
        <w:rPr>
          <w:rFonts w:ascii="Arial" w:hAnsi="Arial" w:cs="Arial"/>
          <w:lang w:val="es-ES"/>
        </w:rPr>
        <w:t>/</w:t>
      </w:r>
      <w:r w:rsidRPr="00707D6E">
        <w:rPr>
          <w:rFonts w:ascii="Arial" w:hAnsi="Arial" w:cs="Arial"/>
          <w:lang w:val="es-ES"/>
        </w:rPr>
        <w:t>CT</w:t>
      </w:r>
      <w:r w:rsidR="009F53B7" w:rsidRPr="00707D6E">
        <w:rPr>
          <w:rFonts w:ascii="Arial" w:hAnsi="Arial" w:cs="Arial"/>
          <w:lang w:val="es-ES"/>
        </w:rPr>
        <w:t>)</w:t>
      </w:r>
      <w:r w:rsidR="007D5BBD" w:rsidRPr="00707D6E">
        <w:rPr>
          <w:rFonts w:ascii="Arial" w:hAnsi="Arial" w:cs="Arial"/>
          <w:lang w:val="es-ES"/>
        </w:rPr>
        <w:t xml:space="preserve"> </w:t>
      </w:r>
      <w:r w:rsidRPr="00707D6E">
        <w:rPr>
          <w:rFonts w:ascii="Arial" w:hAnsi="Arial" w:cs="Arial"/>
          <w:lang w:val="es-ES"/>
        </w:rPr>
        <w:t xml:space="preserve">como método de evaluación de pacientes oncológicos adultos </w:t>
      </w:r>
      <w:r w:rsidR="00B53D45" w:rsidRPr="00707D6E">
        <w:rPr>
          <w:rFonts w:ascii="Arial" w:hAnsi="Arial" w:cs="Arial"/>
          <w:lang w:val="es-ES"/>
        </w:rPr>
        <w:t xml:space="preserve">es </w:t>
      </w:r>
      <w:r w:rsidRPr="00707D6E">
        <w:rPr>
          <w:rFonts w:ascii="Arial" w:hAnsi="Arial" w:cs="Arial"/>
          <w:lang w:val="es-ES"/>
        </w:rPr>
        <w:t>ampliamente difundid</w:t>
      </w:r>
      <w:r w:rsidR="00B53D45" w:rsidRPr="00707D6E">
        <w:rPr>
          <w:rFonts w:ascii="Arial" w:hAnsi="Arial" w:cs="Arial"/>
          <w:lang w:val="es-ES"/>
        </w:rPr>
        <w:t>o</w:t>
      </w:r>
      <w:r w:rsidRPr="00707D6E">
        <w:rPr>
          <w:rFonts w:ascii="Arial" w:hAnsi="Arial" w:cs="Arial"/>
          <w:lang w:val="es-ES"/>
        </w:rPr>
        <w:t>, sin embargo, su utilización en pacientes pediátricos se encuentra limitad</w:t>
      </w:r>
      <w:r w:rsidR="00B53D45" w:rsidRPr="00707D6E">
        <w:rPr>
          <w:rFonts w:ascii="Arial" w:hAnsi="Arial" w:cs="Arial"/>
          <w:lang w:val="es-ES"/>
        </w:rPr>
        <w:t>o</w:t>
      </w:r>
      <w:r w:rsidRPr="00707D6E">
        <w:rPr>
          <w:rFonts w:ascii="Arial" w:hAnsi="Arial" w:cs="Arial"/>
          <w:lang w:val="es-ES"/>
        </w:rPr>
        <w:t xml:space="preserve"> por el temor a la radiación</w:t>
      </w:r>
      <w:r w:rsidR="00B53D45" w:rsidRPr="00707D6E">
        <w:rPr>
          <w:rFonts w:ascii="Arial" w:hAnsi="Arial" w:cs="Arial"/>
          <w:lang w:val="es-ES"/>
        </w:rPr>
        <w:t xml:space="preserve">, su costo </w:t>
      </w:r>
      <w:r w:rsidRPr="00707D6E">
        <w:rPr>
          <w:rFonts w:ascii="Arial" w:hAnsi="Arial" w:cs="Arial"/>
          <w:lang w:val="es-ES"/>
        </w:rPr>
        <w:t xml:space="preserve">y al desconocimiento de </w:t>
      </w:r>
      <w:r w:rsidR="00143EC4" w:rsidRPr="00707D6E">
        <w:rPr>
          <w:rFonts w:ascii="Arial" w:hAnsi="Arial" w:cs="Arial"/>
          <w:lang w:val="es-ES"/>
        </w:rPr>
        <w:t>su</w:t>
      </w:r>
      <w:r w:rsidRPr="00707D6E">
        <w:rPr>
          <w:rFonts w:ascii="Arial" w:hAnsi="Arial" w:cs="Arial"/>
          <w:lang w:val="es-ES"/>
        </w:rPr>
        <w:t xml:space="preserve"> mayor sensibilidad en </w:t>
      </w:r>
      <w:r w:rsidR="00281D1B" w:rsidRPr="00707D6E">
        <w:rPr>
          <w:rFonts w:ascii="Arial" w:hAnsi="Arial" w:cs="Arial"/>
          <w:lang w:val="es-ES"/>
        </w:rPr>
        <w:t xml:space="preserve">la evaluación </w:t>
      </w:r>
      <w:r w:rsidRPr="00707D6E">
        <w:rPr>
          <w:rFonts w:ascii="Arial" w:hAnsi="Arial" w:cs="Arial"/>
          <w:lang w:val="es-ES"/>
        </w:rPr>
        <w:t xml:space="preserve">de </w:t>
      </w:r>
      <w:r w:rsidR="00DF161F" w:rsidRPr="00707D6E">
        <w:rPr>
          <w:rFonts w:ascii="Arial" w:hAnsi="Arial" w:cs="Arial"/>
          <w:lang w:val="es-ES"/>
        </w:rPr>
        <w:t>algunos</w:t>
      </w:r>
      <w:r w:rsidRPr="00707D6E">
        <w:rPr>
          <w:rFonts w:ascii="Arial" w:hAnsi="Arial" w:cs="Arial"/>
          <w:lang w:val="es-ES"/>
        </w:rPr>
        <w:t xml:space="preserve"> tipos de tumores. El caso clínico trata de una paciente pediátrica que </w:t>
      </w:r>
      <w:r w:rsidR="00AF3F82" w:rsidRPr="00707D6E">
        <w:rPr>
          <w:rFonts w:ascii="Arial" w:hAnsi="Arial" w:cs="Arial"/>
          <w:lang w:val="es-ES"/>
        </w:rPr>
        <w:t xml:space="preserve">acudió </w:t>
      </w:r>
      <w:r w:rsidRPr="00707D6E">
        <w:rPr>
          <w:rFonts w:ascii="Arial" w:hAnsi="Arial" w:cs="Arial"/>
          <w:lang w:val="es-ES"/>
        </w:rPr>
        <w:t xml:space="preserve">a la urgencia por dolor esternal, siendo evaluada con múltiples métodos de imágenes. Luego de la confirmación de un sarcoma de </w:t>
      </w:r>
      <w:proofErr w:type="spellStart"/>
      <w:r w:rsidRPr="00707D6E">
        <w:rPr>
          <w:rFonts w:ascii="Arial" w:hAnsi="Arial" w:cs="Arial"/>
          <w:lang w:val="es-ES"/>
        </w:rPr>
        <w:t>Ewing</w:t>
      </w:r>
      <w:proofErr w:type="spellEnd"/>
      <w:r w:rsidRPr="00707D6E">
        <w:rPr>
          <w:rFonts w:ascii="Arial" w:hAnsi="Arial" w:cs="Arial"/>
          <w:lang w:val="es-ES"/>
        </w:rPr>
        <w:t xml:space="preserve"> esternal se </w:t>
      </w:r>
      <w:r w:rsidR="00B53D45" w:rsidRPr="00707D6E">
        <w:rPr>
          <w:rFonts w:ascii="Arial" w:hAnsi="Arial" w:cs="Arial"/>
          <w:lang w:val="es-ES"/>
        </w:rPr>
        <w:t>estadificó</w:t>
      </w:r>
      <w:r w:rsidRPr="00707D6E">
        <w:rPr>
          <w:rFonts w:ascii="Arial" w:hAnsi="Arial" w:cs="Arial"/>
          <w:lang w:val="es-ES"/>
        </w:rPr>
        <w:t xml:space="preserve"> con PET</w:t>
      </w:r>
      <w:r w:rsidR="009F53B7" w:rsidRPr="00707D6E">
        <w:rPr>
          <w:rFonts w:ascii="Arial" w:hAnsi="Arial" w:cs="Arial"/>
          <w:lang w:val="es-ES"/>
        </w:rPr>
        <w:t>/</w:t>
      </w:r>
      <w:r w:rsidRPr="00707D6E">
        <w:rPr>
          <w:rFonts w:ascii="Arial" w:hAnsi="Arial" w:cs="Arial"/>
          <w:lang w:val="es-ES"/>
        </w:rPr>
        <w:t xml:space="preserve">CT el cual </w:t>
      </w:r>
      <w:r w:rsidR="00F42C47" w:rsidRPr="00707D6E">
        <w:rPr>
          <w:rFonts w:ascii="Arial" w:hAnsi="Arial" w:cs="Arial"/>
          <w:lang w:val="es-ES"/>
        </w:rPr>
        <w:t>evidenció</w:t>
      </w:r>
      <w:r w:rsidR="00B53D45" w:rsidRPr="00707D6E">
        <w:rPr>
          <w:rFonts w:ascii="Arial" w:hAnsi="Arial" w:cs="Arial"/>
          <w:lang w:val="es-ES"/>
        </w:rPr>
        <w:t xml:space="preserve"> múltiples lesiones óseas no </w:t>
      </w:r>
      <w:r w:rsidR="00F42C47" w:rsidRPr="00707D6E">
        <w:rPr>
          <w:rFonts w:ascii="Arial" w:hAnsi="Arial" w:cs="Arial"/>
          <w:lang w:val="es-ES"/>
        </w:rPr>
        <w:t>visibles</w:t>
      </w:r>
      <w:r w:rsidR="00B53D45" w:rsidRPr="00707D6E">
        <w:rPr>
          <w:rFonts w:ascii="Arial" w:hAnsi="Arial" w:cs="Arial"/>
          <w:lang w:val="es-ES"/>
        </w:rPr>
        <w:t xml:space="preserve"> en</w:t>
      </w:r>
      <w:r w:rsidR="00281D1B" w:rsidRPr="00707D6E">
        <w:rPr>
          <w:rFonts w:ascii="Arial" w:hAnsi="Arial" w:cs="Arial"/>
          <w:lang w:val="es-ES"/>
        </w:rPr>
        <w:t xml:space="preserve"> </w:t>
      </w:r>
      <w:r w:rsidR="00B53D45" w:rsidRPr="00707D6E">
        <w:rPr>
          <w:rFonts w:ascii="Arial" w:hAnsi="Arial" w:cs="Arial"/>
          <w:lang w:val="es-ES"/>
        </w:rPr>
        <w:t>los estudios previos.</w:t>
      </w:r>
      <w:r w:rsidR="00594BE8" w:rsidRPr="00707D6E">
        <w:rPr>
          <w:rFonts w:ascii="Arial" w:hAnsi="Arial" w:cs="Arial"/>
          <w:lang w:val="es-ES"/>
        </w:rPr>
        <w:t xml:space="preserve"> </w:t>
      </w:r>
      <w:r w:rsidR="00B53D45" w:rsidRPr="00707D6E">
        <w:rPr>
          <w:rFonts w:ascii="Arial" w:hAnsi="Arial" w:cs="Arial"/>
          <w:lang w:val="es-ES"/>
        </w:rPr>
        <w:t xml:space="preserve">El sarcoma de </w:t>
      </w:r>
      <w:proofErr w:type="spellStart"/>
      <w:r w:rsidR="00B53D45" w:rsidRPr="00707D6E">
        <w:rPr>
          <w:rFonts w:ascii="Arial" w:hAnsi="Arial" w:cs="Arial"/>
          <w:lang w:val="es-ES"/>
        </w:rPr>
        <w:t>Ewing</w:t>
      </w:r>
      <w:proofErr w:type="spellEnd"/>
      <w:r w:rsidR="00B53D45" w:rsidRPr="00707D6E">
        <w:rPr>
          <w:rFonts w:ascii="Arial" w:hAnsi="Arial" w:cs="Arial"/>
          <w:lang w:val="es-ES"/>
        </w:rPr>
        <w:t xml:space="preserve"> es una de las neoplasias primarias pediátricas en la </w:t>
      </w:r>
      <w:r w:rsidR="006D03EE" w:rsidRPr="00707D6E">
        <w:rPr>
          <w:rFonts w:ascii="Arial" w:hAnsi="Arial" w:cs="Arial"/>
          <w:lang w:val="es-ES"/>
        </w:rPr>
        <w:t>cual</w:t>
      </w:r>
      <w:r w:rsidR="00B53D45" w:rsidRPr="00707D6E">
        <w:rPr>
          <w:rFonts w:ascii="Arial" w:hAnsi="Arial" w:cs="Arial"/>
          <w:lang w:val="es-ES"/>
        </w:rPr>
        <w:t xml:space="preserve"> se ha demostrado la mayor sensibilidad</w:t>
      </w:r>
      <w:r w:rsidR="00281D1B" w:rsidRPr="00707D6E">
        <w:rPr>
          <w:rFonts w:ascii="Arial" w:hAnsi="Arial" w:cs="Arial"/>
          <w:lang w:val="es-ES"/>
        </w:rPr>
        <w:t xml:space="preserve"> del PET</w:t>
      </w:r>
      <w:r w:rsidR="00FF153C" w:rsidRPr="00707D6E">
        <w:rPr>
          <w:rFonts w:ascii="Arial" w:hAnsi="Arial" w:cs="Arial"/>
          <w:lang w:val="es-ES"/>
        </w:rPr>
        <w:t>/</w:t>
      </w:r>
      <w:r w:rsidR="00281D1B" w:rsidRPr="00707D6E">
        <w:rPr>
          <w:rFonts w:ascii="Arial" w:hAnsi="Arial" w:cs="Arial"/>
          <w:lang w:val="es-ES"/>
        </w:rPr>
        <w:t xml:space="preserve">CT </w:t>
      </w:r>
      <w:r w:rsidR="00F44701" w:rsidRPr="00707D6E">
        <w:rPr>
          <w:rFonts w:ascii="Arial" w:hAnsi="Arial" w:cs="Arial"/>
          <w:lang w:val="es-ES"/>
        </w:rPr>
        <w:t xml:space="preserve">con </w:t>
      </w:r>
      <w:proofErr w:type="spellStart"/>
      <w:r w:rsidR="00F44701" w:rsidRPr="00707D6E">
        <w:rPr>
          <w:rFonts w:ascii="Arial" w:hAnsi="Arial" w:cs="Arial"/>
          <w:lang w:val="es-ES"/>
        </w:rPr>
        <w:t>fluorodeoxiglucosa</w:t>
      </w:r>
      <w:proofErr w:type="spellEnd"/>
      <w:r w:rsidR="00AC4CD3" w:rsidRPr="00707D6E">
        <w:rPr>
          <w:rFonts w:ascii="Arial" w:hAnsi="Arial" w:cs="Arial"/>
          <w:lang w:val="es-ES"/>
        </w:rPr>
        <w:t xml:space="preserve"> marcada con </w:t>
      </w:r>
      <w:r w:rsidR="00FF153C" w:rsidRPr="00707D6E">
        <w:rPr>
          <w:rFonts w:ascii="Arial" w:hAnsi="Arial" w:cs="Arial"/>
          <w:lang w:val="es-ES"/>
        </w:rPr>
        <w:t>F18 (FDG-F18)</w:t>
      </w:r>
      <w:r w:rsidR="00F44701" w:rsidRPr="00707D6E">
        <w:rPr>
          <w:rFonts w:ascii="Arial" w:hAnsi="Arial" w:cs="Arial"/>
          <w:lang w:val="es-ES"/>
        </w:rPr>
        <w:t xml:space="preserve"> </w:t>
      </w:r>
      <w:r w:rsidR="00281D1B" w:rsidRPr="00707D6E">
        <w:rPr>
          <w:rFonts w:ascii="Arial" w:hAnsi="Arial" w:cs="Arial"/>
          <w:lang w:val="es-ES"/>
        </w:rPr>
        <w:t xml:space="preserve">en la evaluación de metástasis óseas en comparación </w:t>
      </w:r>
      <w:r w:rsidR="007216AD" w:rsidRPr="00707D6E">
        <w:rPr>
          <w:rFonts w:ascii="Arial" w:hAnsi="Arial" w:cs="Arial"/>
          <w:lang w:val="es-ES"/>
        </w:rPr>
        <w:t>con</w:t>
      </w:r>
      <w:r w:rsidR="00281D1B" w:rsidRPr="00707D6E">
        <w:rPr>
          <w:rFonts w:ascii="Arial" w:hAnsi="Arial" w:cs="Arial"/>
          <w:lang w:val="es-ES"/>
        </w:rPr>
        <w:t xml:space="preserve"> la cintigrafía, así como también en la respuesta a tratamiento; </w:t>
      </w:r>
      <w:r w:rsidR="000C018F" w:rsidRPr="00707D6E">
        <w:rPr>
          <w:rFonts w:ascii="Arial" w:hAnsi="Arial" w:cs="Arial"/>
          <w:lang w:val="es-ES"/>
        </w:rPr>
        <w:t>motivo</w:t>
      </w:r>
      <w:r w:rsidR="00ED526E" w:rsidRPr="00707D6E">
        <w:rPr>
          <w:rFonts w:ascii="Arial" w:hAnsi="Arial" w:cs="Arial"/>
          <w:lang w:val="es-ES"/>
        </w:rPr>
        <w:t>s</w:t>
      </w:r>
      <w:r w:rsidR="000C018F" w:rsidRPr="00707D6E">
        <w:rPr>
          <w:rFonts w:ascii="Arial" w:hAnsi="Arial" w:cs="Arial"/>
          <w:lang w:val="es-ES"/>
        </w:rPr>
        <w:t xml:space="preserve"> por </w:t>
      </w:r>
      <w:r w:rsidR="00ED526E" w:rsidRPr="00707D6E">
        <w:rPr>
          <w:rFonts w:ascii="Arial" w:hAnsi="Arial" w:cs="Arial"/>
          <w:lang w:val="es-ES"/>
        </w:rPr>
        <w:t>los</w:t>
      </w:r>
      <w:r w:rsidR="000C018F" w:rsidRPr="00707D6E">
        <w:rPr>
          <w:rFonts w:ascii="Arial" w:hAnsi="Arial" w:cs="Arial"/>
          <w:lang w:val="es-ES"/>
        </w:rPr>
        <w:t xml:space="preserve"> </w:t>
      </w:r>
      <w:r w:rsidR="00B867A0" w:rsidRPr="00707D6E">
        <w:rPr>
          <w:rFonts w:ascii="Arial" w:hAnsi="Arial" w:cs="Arial"/>
          <w:lang w:val="es-ES"/>
        </w:rPr>
        <w:t>cuales</w:t>
      </w:r>
      <w:r w:rsidR="009E00A7" w:rsidRPr="00707D6E">
        <w:rPr>
          <w:rFonts w:ascii="Arial" w:hAnsi="Arial" w:cs="Arial"/>
          <w:lang w:val="es-ES"/>
        </w:rPr>
        <w:t xml:space="preserve"> </w:t>
      </w:r>
      <w:r w:rsidR="00281D1B" w:rsidRPr="00707D6E">
        <w:rPr>
          <w:rFonts w:ascii="Arial" w:hAnsi="Arial" w:cs="Arial"/>
          <w:lang w:val="es-ES"/>
        </w:rPr>
        <w:t>guías internacionales recomiendan su uso.</w:t>
      </w:r>
    </w:p>
    <w:p w14:paraId="75436771" w14:textId="77777777" w:rsidR="007F63E1" w:rsidRDefault="007F63E1" w:rsidP="008A70CB">
      <w:pPr>
        <w:spacing w:line="360" w:lineRule="auto"/>
        <w:rPr>
          <w:rFonts w:ascii="Arial" w:hAnsi="Arial" w:cs="Arial"/>
          <w:lang w:val="es-ES"/>
        </w:rPr>
      </w:pPr>
    </w:p>
    <w:p w14:paraId="381A1317" w14:textId="77777777" w:rsidR="00832714" w:rsidRDefault="00832714" w:rsidP="008A70CB">
      <w:pPr>
        <w:spacing w:line="360" w:lineRule="auto"/>
        <w:rPr>
          <w:rFonts w:ascii="Arial" w:hAnsi="Arial" w:cs="Arial"/>
          <w:b/>
          <w:bCs/>
          <w:lang w:val="en-US"/>
        </w:rPr>
      </w:pPr>
    </w:p>
    <w:p w14:paraId="02B17469" w14:textId="61774835" w:rsidR="001B2F8D" w:rsidRPr="004A4719" w:rsidRDefault="00062C11" w:rsidP="008A70CB">
      <w:pPr>
        <w:spacing w:line="360" w:lineRule="auto"/>
        <w:rPr>
          <w:rFonts w:ascii="Arial" w:hAnsi="Arial" w:cs="Arial"/>
          <w:b/>
          <w:bCs/>
          <w:lang w:val="en-US"/>
        </w:rPr>
      </w:pPr>
      <w:r w:rsidRPr="004A4719">
        <w:rPr>
          <w:rFonts w:ascii="Arial" w:hAnsi="Arial" w:cs="Arial"/>
          <w:b/>
          <w:bCs/>
          <w:lang w:val="en-US"/>
        </w:rPr>
        <w:t>Update on the use of PET/CT</w:t>
      </w:r>
      <w:r w:rsidR="004A4719" w:rsidRPr="004A4719">
        <w:rPr>
          <w:rFonts w:ascii="Arial" w:hAnsi="Arial" w:cs="Arial"/>
          <w:b/>
          <w:bCs/>
          <w:lang w:val="en-US"/>
        </w:rPr>
        <w:t xml:space="preserve"> in Ewing’s sarcoma, </w:t>
      </w:r>
      <w:r w:rsidR="004A4719">
        <w:rPr>
          <w:rFonts w:ascii="Arial" w:hAnsi="Arial" w:cs="Arial"/>
          <w:b/>
          <w:bCs/>
          <w:lang w:val="en-US"/>
        </w:rPr>
        <w:t>about a case</w:t>
      </w:r>
    </w:p>
    <w:p w14:paraId="0A080AFB" w14:textId="77777777" w:rsidR="004A4719" w:rsidRPr="00062C11" w:rsidRDefault="004A4719" w:rsidP="008A70CB">
      <w:pPr>
        <w:spacing w:line="360" w:lineRule="auto"/>
        <w:rPr>
          <w:rFonts w:ascii="Arial" w:hAnsi="Arial" w:cs="Arial"/>
          <w:lang w:val="en-US"/>
        </w:rPr>
      </w:pPr>
    </w:p>
    <w:p w14:paraId="54900E97" w14:textId="2D3611D4" w:rsidR="00281D1B" w:rsidRPr="00707D6E" w:rsidRDefault="00752E33" w:rsidP="008A70CB">
      <w:pPr>
        <w:spacing w:line="360" w:lineRule="auto"/>
        <w:rPr>
          <w:rFonts w:ascii="Arial" w:hAnsi="Arial" w:cs="Arial"/>
          <w:b/>
          <w:bCs/>
          <w:lang w:val="en-US"/>
        </w:rPr>
      </w:pPr>
      <w:r w:rsidRPr="00707D6E">
        <w:rPr>
          <w:rFonts w:ascii="Arial" w:hAnsi="Arial" w:cs="Arial"/>
          <w:b/>
          <w:bCs/>
          <w:lang w:val="en-US"/>
        </w:rPr>
        <w:t>Abstract</w:t>
      </w:r>
    </w:p>
    <w:p w14:paraId="0E56AAE4" w14:textId="5F913A52" w:rsidR="00E05E15" w:rsidRPr="00707D6E" w:rsidRDefault="00E05E15" w:rsidP="008A70CB">
      <w:pPr>
        <w:spacing w:line="360" w:lineRule="auto"/>
        <w:rPr>
          <w:rFonts w:ascii="Arial" w:hAnsi="Arial" w:cs="Arial"/>
          <w:lang w:val="en-US"/>
        </w:rPr>
      </w:pPr>
      <w:r w:rsidRPr="00707D6E">
        <w:rPr>
          <w:rFonts w:ascii="Arial" w:hAnsi="Arial" w:cs="Arial"/>
          <w:lang w:val="en-US"/>
        </w:rPr>
        <w:t xml:space="preserve">The use of positron emission tomography with computed tomography (PET/CT) as an evaluation method for adult cancer patients is widespread, however, its use in pediatric patients is limited by fear of radiation, monetary cost and lack of awareness of its greater sensitivity in the evaluation of some types of tumors. This clinical case is about a pediatric patient who came to the emergency department for sternal pain, being evaluated with multiple imaging methods. After confirmation of a sternal Ewing sarcoma, it was staged with PET/CT which showed multiple bone lesions not visible in previous studies. </w:t>
      </w:r>
      <w:r w:rsidRPr="00707D6E">
        <w:rPr>
          <w:rFonts w:ascii="Arial" w:hAnsi="Arial" w:cs="Arial"/>
          <w:lang w:val="en-US"/>
        </w:rPr>
        <w:br/>
        <w:t xml:space="preserve">Ewing's sarcoma is one of the primary pediatric malignancies in which PET/CT with F18-labeled fluorodeoxyglucose (FDG-F18) has demonstrated greater sensitivity in </w:t>
      </w:r>
      <w:r w:rsidRPr="00707D6E">
        <w:rPr>
          <w:rFonts w:ascii="Arial" w:hAnsi="Arial" w:cs="Arial"/>
          <w:lang w:val="en-US"/>
        </w:rPr>
        <w:lastRenderedPageBreak/>
        <w:t>the evaluation of bone metastases compared to scintigraphy, as well as in the response to treatment; reason</w:t>
      </w:r>
      <w:r w:rsidR="005853CA" w:rsidRPr="00707D6E">
        <w:rPr>
          <w:rFonts w:ascii="Arial" w:hAnsi="Arial" w:cs="Arial"/>
          <w:lang w:val="en-US"/>
        </w:rPr>
        <w:t>s</w:t>
      </w:r>
      <w:r w:rsidRPr="00707D6E">
        <w:rPr>
          <w:rFonts w:ascii="Arial" w:hAnsi="Arial" w:cs="Arial"/>
          <w:lang w:val="en-US"/>
        </w:rPr>
        <w:t xml:space="preserve"> why international guidelines recommend its use.</w:t>
      </w:r>
    </w:p>
    <w:p w14:paraId="0B7975AA" w14:textId="77777777" w:rsidR="00E05E15" w:rsidRPr="00707D6E" w:rsidRDefault="00E05E15" w:rsidP="008A70CB">
      <w:pPr>
        <w:spacing w:line="360" w:lineRule="auto"/>
        <w:rPr>
          <w:rFonts w:ascii="Arial" w:hAnsi="Arial" w:cs="Arial"/>
          <w:lang w:val="en-US"/>
        </w:rPr>
      </w:pPr>
    </w:p>
    <w:p w14:paraId="358CA048" w14:textId="7A5A7D12" w:rsidR="00281D1B" w:rsidRPr="00707D6E" w:rsidRDefault="00E348CF" w:rsidP="008A70CB">
      <w:pPr>
        <w:spacing w:line="360" w:lineRule="auto"/>
        <w:rPr>
          <w:rFonts w:ascii="Arial" w:hAnsi="Arial" w:cs="Arial"/>
          <w:lang w:val="en-US"/>
        </w:rPr>
      </w:pPr>
      <w:r w:rsidRPr="00707D6E">
        <w:rPr>
          <w:rFonts w:ascii="Arial" w:hAnsi="Arial" w:cs="Arial"/>
          <w:b/>
          <w:bCs/>
          <w:lang w:val="en-US"/>
        </w:rPr>
        <w:t>Keywords:</w:t>
      </w:r>
      <w:r w:rsidRPr="00707D6E">
        <w:rPr>
          <w:rFonts w:ascii="Arial" w:hAnsi="Arial" w:cs="Arial"/>
          <w:lang w:val="en-US"/>
        </w:rPr>
        <w:t xml:space="preserve"> </w:t>
      </w:r>
      <w:r w:rsidR="00F1070D" w:rsidRPr="00707D6E">
        <w:rPr>
          <w:rFonts w:ascii="Arial" w:hAnsi="Arial" w:cs="Arial"/>
          <w:lang w:val="en-US"/>
        </w:rPr>
        <w:t>S</w:t>
      </w:r>
      <w:r w:rsidRPr="00707D6E">
        <w:rPr>
          <w:rFonts w:ascii="Arial" w:hAnsi="Arial" w:cs="Arial"/>
          <w:lang w:val="en-US"/>
        </w:rPr>
        <w:t>arcoma</w:t>
      </w:r>
      <w:r w:rsidR="00F1070D" w:rsidRPr="00707D6E">
        <w:rPr>
          <w:rFonts w:ascii="Arial" w:hAnsi="Arial" w:cs="Arial"/>
          <w:lang w:val="en-US"/>
        </w:rPr>
        <w:t xml:space="preserve"> </w:t>
      </w:r>
      <w:r w:rsidRPr="00707D6E">
        <w:rPr>
          <w:rFonts w:ascii="Arial" w:hAnsi="Arial" w:cs="Arial"/>
          <w:lang w:val="en-US"/>
        </w:rPr>
        <w:t xml:space="preserve">Ewing, </w:t>
      </w:r>
      <w:r w:rsidR="007F33A5" w:rsidRPr="00707D6E">
        <w:rPr>
          <w:rFonts w:ascii="Arial" w:hAnsi="Arial" w:cs="Arial"/>
          <w:lang w:val="en-US"/>
        </w:rPr>
        <w:t xml:space="preserve">PET-CT, </w:t>
      </w:r>
      <w:r w:rsidR="00320A6D" w:rsidRPr="00707D6E">
        <w:rPr>
          <w:rFonts w:ascii="Arial" w:hAnsi="Arial" w:cs="Arial"/>
          <w:lang w:val="en-US"/>
        </w:rPr>
        <w:t xml:space="preserve">18F-FDG, </w:t>
      </w:r>
      <w:r w:rsidR="000973FC" w:rsidRPr="00707D6E">
        <w:rPr>
          <w:rFonts w:ascii="Arial" w:hAnsi="Arial" w:cs="Arial"/>
          <w:lang w:val="en-US"/>
        </w:rPr>
        <w:t>b</w:t>
      </w:r>
      <w:r w:rsidR="00BF5A60" w:rsidRPr="00707D6E">
        <w:rPr>
          <w:rFonts w:ascii="Arial" w:hAnsi="Arial" w:cs="Arial"/>
          <w:lang w:val="en-US"/>
        </w:rPr>
        <w:t xml:space="preserve">one </w:t>
      </w:r>
      <w:r w:rsidR="000973FC" w:rsidRPr="00707D6E">
        <w:rPr>
          <w:rFonts w:ascii="Arial" w:hAnsi="Arial" w:cs="Arial"/>
          <w:lang w:val="en-US"/>
        </w:rPr>
        <w:t>m</w:t>
      </w:r>
      <w:r w:rsidR="00BF5A60" w:rsidRPr="00707D6E">
        <w:rPr>
          <w:rFonts w:ascii="Arial" w:hAnsi="Arial" w:cs="Arial"/>
          <w:lang w:val="en-US"/>
        </w:rPr>
        <w:t>a</w:t>
      </w:r>
      <w:r w:rsidR="00D101D7" w:rsidRPr="00707D6E">
        <w:rPr>
          <w:rFonts w:ascii="Arial" w:hAnsi="Arial" w:cs="Arial"/>
          <w:lang w:val="en-US"/>
        </w:rPr>
        <w:t xml:space="preserve">rrow, </w:t>
      </w:r>
      <w:r w:rsidR="000973FC" w:rsidRPr="00707D6E">
        <w:rPr>
          <w:rFonts w:ascii="Arial" w:hAnsi="Arial" w:cs="Arial"/>
          <w:lang w:val="en-US"/>
        </w:rPr>
        <w:t>Scintigraphy</w:t>
      </w:r>
    </w:p>
    <w:p w14:paraId="6EEDB36F" w14:textId="26D939E2" w:rsidR="00281D1B" w:rsidRPr="00707D6E" w:rsidRDefault="00281D1B" w:rsidP="008A70CB">
      <w:pPr>
        <w:spacing w:line="360" w:lineRule="auto"/>
        <w:rPr>
          <w:rFonts w:ascii="Arial" w:hAnsi="Arial" w:cs="Arial"/>
          <w:lang w:val="en-US"/>
        </w:rPr>
      </w:pPr>
    </w:p>
    <w:p w14:paraId="768E67C4" w14:textId="7AA4C02B" w:rsidR="00E05E15" w:rsidRDefault="00E05E15" w:rsidP="008A70CB">
      <w:pPr>
        <w:spacing w:line="360" w:lineRule="auto"/>
        <w:rPr>
          <w:rFonts w:ascii="Arial" w:hAnsi="Arial" w:cs="Arial"/>
          <w:lang w:val="en-US"/>
        </w:rPr>
      </w:pPr>
    </w:p>
    <w:p w14:paraId="1D6D1AF9" w14:textId="7DB084EA" w:rsidR="001431CE" w:rsidRDefault="001431CE" w:rsidP="008A70CB">
      <w:pPr>
        <w:spacing w:line="360" w:lineRule="auto"/>
        <w:rPr>
          <w:rFonts w:ascii="Arial" w:hAnsi="Arial" w:cs="Arial"/>
          <w:lang w:val="en-US"/>
        </w:rPr>
      </w:pPr>
    </w:p>
    <w:p w14:paraId="77E809A1" w14:textId="1BC652D0" w:rsidR="001431CE" w:rsidRDefault="001431CE" w:rsidP="008A70CB">
      <w:pPr>
        <w:spacing w:line="360" w:lineRule="auto"/>
        <w:rPr>
          <w:rFonts w:ascii="Arial" w:hAnsi="Arial" w:cs="Arial"/>
          <w:lang w:val="en-US"/>
        </w:rPr>
      </w:pPr>
    </w:p>
    <w:p w14:paraId="2263A9A4" w14:textId="646FB545" w:rsidR="001431CE" w:rsidRDefault="001431CE" w:rsidP="008A70CB">
      <w:pPr>
        <w:spacing w:line="360" w:lineRule="auto"/>
        <w:rPr>
          <w:rFonts w:ascii="Arial" w:hAnsi="Arial" w:cs="Arial"/>
          <w:lang w:val="en-US"/>
        </w:rPr>
      </w:pPr>
    </w:p>
    <w:p w14:paraId="2C89F6DA" w14:textId="43CFDA6B" w:rsidR="001431CE" w:rsidRDefault="001431CE" w:rsidP="008A70CB">
      <w:pPr>
        <w:spacing w:line="360" w:lineRule="auto"/>
        <w:rPr>
          <w:rFonts w:ascii="Arial" w:hAnsi="Arial" w:cs="Arial"/>
          <w:lang w:val="en-US"/>
        </w:rPr>
      </w:pPr>
    </w:p>
    <w:p w14:paraId="17FB10D1" w14:textId="15C0E284" w:rsidR="001431CE" w:rsidRDefault="001431CE" w:rsidP="008A70CB">
      <w:pPr>
        <w:spacing w:line="360" w:lineRule="auto"/>
        <w:rPr>
          <w:rFonts w:ascii="Arial" w:hAnsi="Arial" w:cs="Arial"/>
          <w:lang w:val="en-US"/>
        </w:rPr>
      </w:pPr>
    </w:p>
    <w:p w14:paraId="23BEAB76" w14:textId="64C4889C" w:rsidR="001431CE" w:rsidRDefault="001431CE" w:rsidP="008A70CB">
      <w:pPr>
        <w:spacing w:line="360" w:lineRule="auto"/>
        <w:rPr>
          <w:rFonts w:ascii="Arial" w:hAnsi="Arial" w:cs="Arial"/>
          <w:lang w:val="en-US"/>
        </w:rPr>
      </w:pPr>
    </w:p>
    <w:p w14:paraId="62B9B218" w14:textId="08F2325E" w:rsidR="001431CE" w:rsidRDefault="001431CE" w:rsidP="008A70CB">
      <w:pPr>
        <w:spacing w:line="360" w:lineRule="auto"/>
        <w:rPr>
          <w:rFonts w:ascii="Arial" w:hAnsi="Arial" w:cs="Arial"/>
          <w:lang w:val="en-US"/>
        </w:rPr>
      </w:pPr>
    </w:p>
    <w:p w14:paraId="4E82E5FD" w14:textId="0EBDEA56" w:rsidR="001431CE" w:rsidRDefault="001431CE" w:rsidP="008A70CB">
      <w:pPr>
        <w:spacing w:line="360" w:lineRule="auto"/>
        <w:rPr>
          <w:rFonts w:ascii="Arial" w:hAnsi="Arial" w:cs="Arial"/>
          <w:lang w:val="en-US"/>
        </w:rPr>
      </w:pPr>
    </w:p>
    <w:p w14:paraId="26D3AD66" w14:textId="21AFF8D3" w:rsidR="001431CE" w:rsidRDefault="001431CE" w:rsidP="008A70CB">
      <w:pPr>
        <w:spacing w:line="360" w:lineRule="auto"/>
        <w:rPr>
          <w:rFonts w:ascii="Arial" w:hAnsi="Arial" w:cs="Arial"/>
          <w:lang w:val="en-US"/>
        </w:rPr>
      </w:pPr>
    </w:p>
    <w:p w14:paraId="76E9772A" w14:textId="758D6F28" w:rsidR="001431CE" w:rsidRDefault="001431CE" w:rsidP="008A70CB">
      <w:pPr>
        <w:spacing w:line="360" w:lineRule="auto"/>
        <w:rPr>
          <w:rFonts w:ascii="Arial" w:hAnsi="Arial" w:cs="Arial"/>
          <w:lang w:val="en-US"/>
        </w:rPr>
      </w:pPr>
    </w:p>
    <w:p w14:paraId="4DEE36C2" w14:textId="46B7999A" w:rsidR="001431CE" w:rsidRDefault="001431CE" w:rsidP="008A70CB">
      <w:pPr>
        <w:spacing w:line="360" w:lineRule="auto"/>
        <w:rPr>
          <w:rFonts w:ascii="Arial" w:hAnsi="Arial" w:cs="Arial"/>
          <w:lang w:val="en-US"/>
        </w:rPr>
      </w:pPr>
    </w:p>
    <w:p w14:paraId="0C8C7CB8" w14:textId="0499552C" w:rsidR="001431CE" w:rsidRDefault="001431CE" w:rsidP="008A70CB">
      <w:pPr>
        <w:spacing w:line="360" w:lineRule="auto"/>
        <w:rPr>
          <w:rFonts w:ascii="Arial" w:hAnsi="Arial" w:cs="Arial"/>
          <w:lang w:val="en-US"/>
        </w:rPr>
      </w:pPr>
    </w:p>
    <w:p w14:paraId="0965208D" w14:textId="079E711B" w:rsidR="001431CE" w:rsidRDefault="001431CE" w:rsidP="008A70CB">
      <w:pPr>
        <w:spacing w:line="360" w:lineRule="auto"/>
        <w:rPr>
          <w:rFonts w:ascii="Arial" w:hAnsi="Arial" w:cs="Arial"/>
          <w:lang w:val="en-US"/>
        </w:rPr>
      </w:pPr>
    </w:p>
    <w:p w14:paraId="6465CEE8" w14:textId="30BF79AB" w:rsidR="001431CE" w:rsidRDefault="001431CE" w:rsidP="008A70CB">
      <w:pPr>
        <w:spacing w:line="360" w:lineRule="auto"/>
        <w:rPr>
          <w:rFonts w:ascii="Arial" w:hAnsi="Arial" w:cs="Arial"/>
          <w:lang w:val="en-US"/>
        </w:rPr>
      </w:pPr>
    </w:p>
    <w:p w14:paraId="3CAB515D" w14:textId="135D3820" w:rsidR="001431CE" w:rsidRDefault="001431CE" w:rsidP="008A70CB">
      <w:pPr>
        <w:spacing w:line="360" w:lineRule="auto"/>
        <w:rPr>
          <w:rFonts w:ascii="Arial" w:hAnsi="Arial" w:cs="Arial"/>
          <w:lang w:val="en-US"/>
        </w:rPr>
      </w:pPr>
    </w:p>
    <w:p w14:paraId="7A3EE735" w14:textId="5A38D650" w:rsidR="001431CE" w:rsidRDefault="001431CE" w:rsidP="008A70CB">
      <w:pPr>
        <w:spacing w:line="360" w:lineRule="auto"/>
        <w:rPr>
          <w:rFonts w:ascii="Arial" w:hAnsi="Arial" w:cs="Arial"/>
          <w:lang w:val="en-US"/>
        </w:rPr>
      </w:pPr>
    </w:p>
    <w:p w14:paraId="518290DB" w14:textId="18FBFA93" w:rsidR="001431CE" w:rsidRDefault="001431CE" w:rsidP="008A70CB">
      <w:pPr>
        <w:spacing w:line="360" w:lineRule="auto"/>
        <w:rPr>
          <w:rFonts w:ascii="Arial" w:hAnsi="Arial" w:cs="Arial"/>
          <w:lang w:val="en-US"/>
        </w:rPr>
      </w:pPr>
    </w:p>
    <w:p w14:paraId="15C8AB27" w14:textId="4E5AB129" w:rsidR="001431CE" w:rsidRDefault="001431CE" w:rsidP="008A70CB">
      <w:pPr>
        <w:spacing w:line="360" w:lineRule="auto"/>
        <w:rPr>
          <w:rFonts w:ascii="Arial" w:hAnsi="Arial" w:cs="Arial"/>
          <w:lang w:val="en-US"/>
        </w:rPr>
      </w:pPr>
    </w:p>
    <w:p w14:paraId="084B625E" w14:textId="4F0955E9" w:rsidR="001431CE" w:rsidRDefault="001431CE" w:rsidP="008A70CB">
      <w:pPr>
        <w:spacing w:line="360" w:lineRule="auto"/>
        <w:rPr>
          <w:rFonts w:ascii="Arial" w:hAnsi="Arial" w:cs="Arial"/>
          <w:lang w:val="en-US"/>
        </w:rPr>
      </w:pPr>
    </w:p>
    <w:p w14:paraId="3431BA77" w14:textId="72CB3381" w:rsidR="001431CE" w:rsidRDefault="001431CE" w:rsidP="008A70CB">
      <w:pPr>
        <w:spacing w:line="360" w:lineRule="auto"/>
        <w:rPr>
          <w:rFonts w:ascii="Arial" w:hAnsi="Arial" w:cs="Arial"/>
          <w:lang w:val="en-US"/>
        </w:rPr>
      </w:pPr>
    </w:p>
    <w:p w14:paraId="7883D89E" w14:textId="751A0FDE" w:rsidR="001431CE" w:rsidRDefault="001431CE" w:rsidP="008A70CB">
      <w:pPr>
        <w:spacing w:line="360" w:lineRule="auto"/>
        <w:rPr>
          <w:rFonts w:ascii="Arial" w:hAnsi="Arial" w:cs="Arial"/>
          <w:lang w:val="en-US"/>
        </w:rPr>
      </w:pPr>
    </w:p>
    <w:p w14:paraId="03DFBC33" w14:textId="3943B071" w:rsidR="001431CE" w:rsidRDefault="001431CE" w:rsidP="008A70CB">
      <w:pPr>
        <w:spacing w:line="360" w:lineRule="auto"/>
        <w:rPr>
          <w:rFonts w:ascii="Arial" w:hAnsi="Arial" w:cs="Arial"/>
          <w:lang w:val="en-US"/>
        </w:rPr>
      </w:pPr>
    </w:p>
    <w:p w14:paraId="74D4B690" w14:textId="5B5B1A2B" w:rsidR="001431CE" w:rsidRDefault="001431CE" w:rsidP="008A70CB">
      <w:pPr>
        <w:spacing w:line="360" w:lineRule="auto"/>
        <w:rPr>
          <w:rFonts w:ascii="Arial" w:hAnsi="Arial" w:cs="Arial"/>
          <w:lang w:val="en-US"/>
        </w:rPr>
      </w:pPr>
    </w:p>
    <w:p w14:paraId="5107C208" w14:textId="77777777" w:rsidR="00832714" w:rsidRPr="00707D6E" w:rsidRDefault="00832714" w:rsidP="008A70CB">
      <w:pPr>
        <w:spacing w:line="360" w:lineRule="auto"/>
        <w:rPr>
          <w:rFonts w:ascii="Arial" w:hAnsi="Arial" w:cs="Arial"/>
          <w:lang w:val="en-US"/>
        </w:rPr>
      </w:pPr>
    </w:p>
    <w:p w14:paraId="16C80D60" w14:textId="77777777" w:rsidR="003A3BA9" w:rsidRPr="00707D6E" w:rsidRDefault="003A3BA9" w:rsidP="008A70CB">
      <w:pPr>
        <w:spacing w:line="360" w:lineRule="auto"/>
        <w:rPr>
          <w:rFonts w:ascii="Arial" w:hAnsi="Arial" w:cs="Arial"/>
          <w:b/>
          <w:bCs/>
        </w:rPr>
      </w:pPr>
      <w:r w:rsidRPr="00707D6E">
        <w:rPr>
          <w:rFonts w:ascii="Arial" w:hAnsi="Arial" w:cs="Arial"/>
          <w:b/>
          <w:bCs/>
        </w:rPr>
        <w:lastRenderedPageBreak/>
        <w:t>Introducción</w:t>
      </w:r>
    </w:p>
    <w:p w14:paraId="398F10E5" w14:textId="29C43244" w:rsidR="00C378DC" w:rsidRPr="00707D6E" w:rsidRDefault="00EA4A94" w:rsidP="008A70CB">
      <w:pPr>
        <w:spacing w:line="360" w:lineRule="auto"/>
        <w:rPr>
          <w:rFonts w:ascii="Arial" w:hAnsi="Arial" w:cs="Arial"/>
        </w:rPr>
      </w:pPr>
      <w:r w:rsidRPr="00707D6E">
        <w:rPr>
          <w:rFonts w:ascii="Arial" w:hAnsi="Arial" w:cs="Arial"/>
        </w:rPr>
        <w:t>El sarcoma de Ewing es el segundo tumor óseo más frecuente en la edad pediátrica, da</w:t>
      </w:r>
      <w:r w:rsidR="002B3AAE" w:rsidRPr="00707D6E">
        <w:rPr>
          <w:rFonts w:ascii="Arial" w:hAnsi="Arial" w:cs="Arial"/>
        </w:rPr>
        <w:t>ndo</w:t>
      </w:r>
      <w:r w:rsidRPr="00707D6E">
        <w:rPr>
          <w:rFonts w:ascii="Arial" w:hAnsi="Arial" w:cs="Arial"/>
        </w:rPr>
        <w:t xml:space="preserve"> cuenta aproximadamente </w:t>
      </w:r>
      <w:r w:rsidR="002B3AAE" w:rsidRPr="00707D6E">
        <w:rPr>
          <w:rFonts w:ascii="Arial" w:hAnsi="Arial" w:cs="Arial"/>
        </w:rPr>
        <w:t>d</w:t>
      </w:r>
      <w:r w:rsidRPr="00707D6E">
        <w:rPr>
          <w:rFonts w:ascii="Arial" w:hAnsi="Arial" w:cs="Arial"/>
        </w:rPr>
        <w:t>el 3% de todos los cáncer</w:t>
      </w:r>
      <w:r w:rsidR="002B3AAE" w:rsidRPr="00707D6E">
        <w:rPr>
          <w:rFonts w:ascii="Arial" w:hAnsi="Arial" w:cs="Arial"/>
        </w:rPr>
        <w:t>es</w:t>
      </w:r>
      <w:r w:rsidRPr="00707D6E">
        <w:rPr>
          <w:rFonts w:ascii="Arial" w:hAnsi="Arial" w:cs="Arial"/>
        </w:rPr>
        <w:t xml:space="preserve"> en este grupo etario. Aproximadamente el 25% de los pacientes presenta diseminación a distancia al momento del diagnóstico, la </w:t>
      </w:r>
      <w:r w:rsidR="00344A59" w:rsidRPr="00707D6E">
        <w:rPr>
          <w:rFonts w:ascii="Arial" w:hAnsi="Arial" w:cs="Arial"/>
        </w:rPr>
        <w:t xml:space="preserve">cual </w:t>
      </w:r>
      <w:r w:rsidRPr="00707D6E">
        <w:rPr>
          <w:rFonts w:ascii="Arial" w:hAnsi="Arial" w:cs="Arial"/>
        </w:rPr>
        <w:t>suele ser hematógena</w:t>
      </w:r>
      <w:r w:rsidR="00590C54">
        <w:rPr>
          <w:rFonts w:ascii="Arial" w:hAnsi="Arial" w:cs="Arial"/>
        </w:rPr>
        <w:t xml:space="preserve">, con mayor frecuencia </w:t>
      </w:r>
      <w:r w:rsidR="00832714">
        <w:rPr>
          <w:rFonts w:ascii="Arial" w:hAnsi="Arial" w:cs="Arial"/>
        </w:rPr>
        <w:t>a</w:t>
      </w:r>
      <w:r w:rsidR="00590C54">
        <w:rPr>
          <w:rFonts w:ascii="Arial" w:hAnsi="Arial" w:cs="Arial"/>
        </w:rPr>
        <w:t xml:space="preserve"> pulmón y huesos</w:t>
      </w:r>
      <w:r w:rsidR="00BB2749" w:rsidRPr="00707D6E">
        <w:rPr>
          <w:rFonts w:ascii="Arial" w:hAnsi="Arial" w:cs="Arial"/>
          <w:vertAlign w:val="superscript"/>
        </w:rPr>
        <w:t>(1)</w:t>
      </w:r>
      <w:r w:rsidR="00831D65" w:rsidRPr="00707D6E">
        <w:rPr>
          <w:rFonts w:ascii="Arial" w:hAnsi="Arial" w:cs="Arial"/>
        </w:rPr>
        <w:t>.</w:t>
      </w:r>
    </w:p>
    <w:p w14:paraId="77151539" w14:textId="70503E33" w:rsidR="00444E2B" w:rsidRPr="00707D6E" w:rsidRDefault="00787F49" w:rsidP="008A70CB">
      <w:pPr>
        <w:spacing w:line="360" w:lineRule="auto"/>
        <w:rPr>
          <w:rFonts w:ascii="Arial" w:hAnsi="Arial" w:cs="Arial"/>
        </w:rPr>
      </w:pPr>
      <w:r w:rsidRPr="00707D6E">
        <w:rPr>
          <w:rFonts w:ascii="Arial" w:hAnsi="Arial" w:cs="Arial"/>
        </w:rPr>
        <w:t>La etapificación clásica incluye tomografía computada de tórax, cintigrafía ósea</w:t>
      </w:r>
      <w:r w:rsidR="00590C54">
        <w:rPr>
          <w:rFonts w:ascii="Arial" w:hAnsi="Arial" w:cs="Arial"/>
        </w:rPr>
        <w:t xml:space="preserve"> </w:t>
      </w:r>
      <w:r w:rsidR="002C5B0D" w:rsidRPr="00707D6E">
        <w:rPr>
          <w:rFonts w:ascii="Arial" w:hAnsi="Arial" w:cs="Arial"/>
        </w:rPr>
        <w:t>y biopsia de médula ósea</w:t>
      </w:r>
      <w:r w:rsidR="00590C54">
        <w:rPr>
          <w:rFonts w:ascii="Arial" w:hAnsi="Arial" w:cs="Arial"/>
        </w:rPr>
        <w:t xml:space="preserve">, </w:t>
      </w:r>
      <w:r w:rsidR="00D96004">
        <w:rPr>
          <w:rFonts w:ascii="Arial" w:hAnsi="Arial" w:cs="Arial"/>
        </w:rPr>
        <w:t>en tanto</w:t>
      </w:r>
      <w:r w:rsidR="00590C54">
        <w:rPr>
          <w:rFonts w:ascii="Arial" w:hAnsi="Arial" w:cs="Arial"/>
        </w:rPr>
        <w:t xml:space="preserve"> la evaluación del tumor </w:t>
      </w:r>
      <w:r w:rsidR="008C0CB4" w:rsidRPr="00707D6E">
        <w:rPr>
          <w:rFonts w:ascii="Arial" w:hAnsi="Arial" w:cs="Arial"/>
        </w:rPr>
        <w:t>primari</w:t>
      </w:r>
      <w:r w:rsidR="00590C54">
        <w:rPr>
          <w:rFonts w:ascii="Arial" w:hAnsi="Arial" w:cs="Arial"/>
        </w:rPr>
        <w:t xml:space="preserve">o puede ser realizada con múltiples técnicas, idealmente </w:t>
      </w:r>
      <w:r w:rsidR="008C0CB4" w:rsidRPr="00707D6E">
        <w:rPr>
          <w:rFonts w:ascii="Arial" w:hAnsi="Arial" w:cs="Arial"/>
        </w:rPr>
        <w:t>resonancia magnética</w:t>
      </w:r>
      <w:r w:rsidR="00590C54">
        <w:rPr>
          <w:rFonts w:ascii="Arial" w:hAnsi="Arial" w:cs="Arial"/>
        </w:rPr>
        <w:t>.</w:t>
      </w:r>
      <w:r w:rsidR="00B92444">
        <w:rPr>
          <w:rFonts w:ascii="Arial" w:hAnsi="Arial" w:cs="Arial"/>
        </w:rPr>
        <w:t xml:space="preserve"> La evaluación </w:t>
      </w:r>
      <w:r w:rsidR="00832714">
        <w:rPr>
          <w:rFonts w:ascii="Arial" w:hAnsi="Arial" w:cs="Arial"/>
        </w:rPr>
        <w:t xml:space="preserve">con </w:t>
      </w:r>
      <w:r w:rsidR="00832714" w:rsidRPr="00707D6E">
        <w:rPr>
          <w:rFonts w:ascii="Arial" w:hAnsi="Arial" w:cs="Arial"/>
        </w:rPr>
        <w:t xml:space="preserve">PET/CT FDG-F18 </w:t>
      </w:r>
      <w:r w:rsidR="00832714">
        <w:rPr>
          <w:rFonts w:ascii="Arial" w:hAnsi="Arial" w:cs="Arial"/>
        </w:rPr>
        <w:t>no se encuentra incorporad</w:t>
      </w:r>
      <w:r w:rsidR="00B92444">
        <w:rPr>
          <w:rFonts w:ascii="Arial" w:hAnsi="Arial" w:cs="Arial"/>
        </w:rPr>
        <w:t>a</w:t>
      </w:r>
      <w:r w:rsidR="00832714">
        <w:rPr>
          <w:rFonts w:ascii="Arial" w:hAnsi="Arial" w:cs="Arial"/>
        </w:rPr>
        <w:t xml:space="preserve"> dentro del manejo inicial, a pesar de que</w:t>
      </w:r>
      <w:r w:rsidR="00393F8E" w:rsidRPr="00707D6E">
        <w:rPr>
          <w:rFonts w:ascii="Arial" w:hAnsi="Arial" w:cs="Arial"/>
        </w:rPr>
        <w:t xml:space="preserve"> múltiples estudios han demostrado </w:t>
      </w:r>
      <w:r w:rsidR="00832714">
        <w:rPr>
          <w:rFonts w:ascii="Arial" w:hAnsi="Arial" w:cs="Arial"/>
        </w:rPr>
        <w:t>su</w:t>
      </w:r>
      <w:r w:rsidR="002933F4" w:rsidRPr="00707D6E">
        <w:rPr>
          <w:rFonts w:ascii="Arial" w:hAnsi="Arial" w:cs="Arial"/>
        </w:rPr>
        <w:t xml:space="preserve"> mayor sensibilidad en la detección de metástasis óseas en comparación </w:t>
      </w:r>
      <w:r w:rsidR="008E6D12" w:rsidRPr="00707D6E">
        <w:rPr>
          <w:rFonts w:ascii="Arial" w:hAnsi="Arial" w:cs="Arial"/>
        </w:rPr>
        <w:t>con</w:t>
      </w:r>
      <w:r w:rsidR="002933F4" w:rsidRPr="00707D6E">
        <w:rPr>
          <w:rFonts w:ascii="Arial" w:hAnsi="Arial" w:cs="Arial"/>
        </w:rPr>
        <w:t xml:space="preserve"> la cintigrafía</w:t>
      </w:r>
      <w:r w:rsidR="00B92444">
        <w:rPr>
          <w:rFonts w:ascii="Arial" w:hAnsi="Arial" w:cs="Arial"/>
        </w:rPr>
        <w:t xml:space="preserve"> y </w:t>
      </w:r>
      <w:r w:rsidR="00D96004">
        <w:rPr>
          <w:rFonts w:ascii="Arial" w:hAnsi="Arial" w:cs="Arial"/>
        </w:rPr>
        <w:t xml:space="preserve">su capacidad de detectar </w:t>
      </w:r>
      <w:r w:rsidR="00B92444">
        <w:rPr>
          <w:rFonts w:ascii="Arial" w:hAnsi="Arial" w:cs="Arial"/>
        </w:rPr>
        <w:t>infiltración</w:t>
      </w:r>
      <w:r w:rsidR="00D96004">
        <w:rPr>
          <w:rFonts w:ascii="Arial" w:hAnsi="Arial" w:cs="Arial"/>
        </w:rPr>
        <w:t xml:space="preserve"> </w:t>
      </w:r>
      <w:r w:rsidR="00B92444">
        <w:rPr>
          <w:rFonts w:ascii="Arial" w:hAnsi="Arial" w:cs="Arial"/>
        </w:rPr>
        <w:t>medular</w:t>
      </w:r>
      <w:r w:rsidR="00D96004">
        <w:rPr>
          <w:rFonts w:ascii="Arial" w:hAnsi="Arial" w:cs="Arial"/>
        </w:rPr>
        <w:t>;</w:t>
      </w:r>
      <w:r w:rsidR="00445269" w:rsidRPr="00707D6E">
        <w:rPr>
          <w:rFonts w:ascii="Arial" w:hAnsi="Arial" w:cs="Arial"/>
        </w:rPr>
        <w:t xml:space="preserve"> incluso </w:t>
      </w:r>
      <w:r w:rsidR="00586070" w:rsidRPr="00707D6E">
        <w:rPr>
          <w:rFonts w:ascii="Arial" w:hAnsi="Arial" w:cs="Arial"/>
        </w:rPr>
        <w:t>algunos</w:t>
      </w:r>
      <w:r w:rsidR="006F0EFD" w:rsidRPr="00707D6E">
        <w:rPr>
          <w:rFonts w:ascii="Arial" w:hAnsi="Arial" w:cs="Arial"/>
        </w:rPr>
        <w:t xml:space="preserve"> </w:t>
      </w:r>
      <w:r w:rsidR="00342982" w:rsidRPr="00707D6E">
        <w:rPr>
          <w:rFonts w:ascii="Arial" w:hAnsi="Arial" w:cs="Arial"/>
        </w:rPr>
        <w:t xml:space="preserve">estudios </w:t>
      </w:r>
      <w:r w:rsidR="006F0EFD" w:rsidRPr="00707D6E">
        <w:rPr>
          <w:rFonts w:ascii="Arial" w:hAnsi="Arial" w:cs="Arial"/>
        </w:rPr>
        <w:t xml:space="preserve">plantean la posibilidad de </w:t>
      </w:r>
      <w:r w:rsidR="00444E2B" w:rsidRPr="00707D6E">
        <w:rPr>
          <w:rFonts w:ascii="Arial" w:hAnsi="Arial" w:cs="Arial"/>
        </w:rPr>
        <w:t xml:space="preserve">omitir la biopsia de médula ósea </w:t>
      </w:r>
      <w:r w:rsidR="00342982" w:rsidRPr="00707D6E">
        <w:rPr>
          <w:rFonts w:ascii="Arial" w:hAnsi="Arial" w:cs="Arial"/>
        </w:rPr>
        <w:t>en presencia de un PET sin evidencia de diseminación</w:t>
      </w:r>
      <w:r w:rsidR="00B92444">
        <w:rPr>
          <w:rFonts w:ascii="Arial" w:hAnsi="Arial" w:cs="Arial"/>
        </w:rPr>
        <w:t xml:space="preserve"> tumoral</w:t>
      </w:r>
      <w:r w:rsidR="000B3263" w:rsidRPr="00707D6E">
        <w:rPr>
          <w:rFonts w:ascii="Arial" w:hAnsi="Arial" w:cs="Arial"/>
          <w:vertAlign w:val="superscript"/>
        </w:rPr>
        <w:t>(2)</w:t>
      </w:r>
      <w:r w:rsidR="00342982" w:rsidRPr="00707D6E">
        <w:rPr>
          <w:rFonts w:ascii="Arial" w:hAnsi="Arial" w:cs="Arial"/>
        </w:rPr>
        <w:t>.</w:t>
      </w:r>
    </w:p>
    <w:p w14:paraId="09542B94" w14:textId="376705EB" w:rsidR="002C5B0D" w:rsidRPr="00707D6E" w:rsidRDefault="00395375" w:rsidP="008A70CB">
      <w:pPr>
        <w:spacing w:line="360" w:lineRule="auto"/>
        <w:rPr>
          <w:rFonts w:ascii="Arial" w:hAnsi="Arial" w:cs="Arial"/>
        </w:rPr>
      </w:pPr>
      <w:r w:rsidRPr="00707D6E">
        <w:rPr>
          <w:rFonts w:ascii="Arial" w:hAnsi="Arial" w:cs="Arial"/>
        </w:rPr>
        <w:t>Mediante un caso clínico se pretende</w:t>
      </w:r>
      <w:r w:rsidR="009C0250" w:rsidRPr="00707D6E">
        <w:rPr>
          <w:rFonts w:ascii="Arial" w:hAnsi="Arial" w:cs="Arial"/>
        </w:rPr>
        <w:t xml:space="preserve"> ejemplificar la utilidad del PET</w:t>
      </w:r>
      <w:r w:rsidR="00863EBD" w:rsidRPr="00707D6E">
        <w:rPr>
          <w:rFonts w:ascii="Arial" w:hAnsi="Arial" w:cs="Arial"/>
        </w:rPr>
        <w:t>/CT</w:t>
      </w:r>
      <w:r w:rsidR="00C1107B" w:rsidRPr="00707D6E">
        <w:rPr>
          <w:rFonts w:ascii="Arial" w:hAnsi="Arial" w:cs="Arial"/>
        </w:rPr>
        <w:t xml:space="preserve"> </w:t>
      </w:r>
      <w:r w:rsidR="009C0250" w:rsidRPr="00707D6E">
        <w:rPr>
          <w:rFonts w:ascii="Arial" w:hAnsi="Arial" w:cs="Arial"/>
        </w:rPr>
        <w:t>FDG</w:t>
      </w:r>
      <w:r w:rsidR="00C1107B" w:rsidRPr="00707D6E">
        <w:rPr>
          <w:rFonts w:ascii="Arial" w:hAnsi="Arial" w:cs="Arial"/>
        </w:rPr>
        <w:t>-F18</w:t>
      </w:r>
      <w:r w:rsidR="009C0250" w:rsidRPr="00707D6E">
        <w:rPr>
          <w:rFonts w:ascii="Arial" w:hAnsi="Arial" w:cs="Arial"/>
        </w:rPr>
        <w:t xml:space="preserve"> en la etapificación y control de tratamiento en un</w:t>
      </w:r>
      <w:r w:rsidR="00AC6862" w:rsidRPr="00707D6E">
        <w:rPr>
          <w:rFonts w:ascii="Arial" w:hAnsi="Arial" w:cs="Arial"/>
        </w:rPr>
        <w:t>a</w:t>
      </w:r>
      <w:r w:rsidR="009C0250" w:rsidRPr="00707D6E">
        <w:rPr>
          <w:rFonts w:ascii="Arial" w:hAnsi="Arial" w:cs="Arial"/>
        </w:rPr>
        <w:t xml:space="preserve"> paciente con sarcoma de Ewing.</w:t>
      </w:r>
    </w:p>
    <w:p w14:paraId="2F084730" w14:textId="68A2A363" w:rsidR="002C5B0D" w:rsidRPr="00707D6E" w:rsidRDefault="002C5B0D" w:rsidP="008A70CB">
      <w:pPr>
        <w:spacing w:line="360" w:lineRule="auto"/>
        <w:rPr>
          <w:rFonts w:ascii="Arial" w:hAnsi="Arial" w:cs="Arial"/>
        </w:rPr>
      </w:pPr>
    </w:p>
    <w:p w14:paraId="426308E5" w14:textId="6E3BCFD6" w:rsidR="00E05E15" w:rsidRDefault="00E05E15" w:rsidP="008A70CB">
      <w:pPr>
        <w:spacing w:line="360" w:lineRule="auto"/>
        <w:rPr>
          <w:rFonts w:ascii="Arial" w:hAnsi="Arial" w:cs="Arial"/>
        </w:rPr>
      </w:pPr>
    </w:p>
    <w:p w14:paraId="07A13C2F" w14:textId="4F8E78DE" w:rsidR="006742FF" w:rsidRDefault="006742FF" w:rsidP="008A70CB">
      <w:pPr>
        <w:spacing w:line="360" w:lineRule="auto"/>
        <w:rPr>
          <w:rFonts w:ascii="Arial" w:hAnsi="Arial" w:cs="Arial"/>
        </w:rPr>
      </w:pPr>
    </w:p>
    <w:p w14:paraId="27BFB36B" w14:textId="0052D063" w:rsidR="006742FF" w:rsidRDefault="006742FF" w:rsidP="008A70CB">
      <w:pPr>
        <w:spacing w:line="360" w:lineRule="auto"/>
        <w:rPr>
          <w:rFonts w:ascii="Arial" w:hAnsi="Arial" w:cs="Arial"/>
        </w:rPr>
      </w:pPr>
    </w:p>
    <w:p w14:paraId="04112881" w14:textId="214B9BBB" w:rsidR="006742FF" w:rsidRDefault="006742FF" w:rsidP="008A70CB">
      <w:pPr>
        <w:spacing w:line="360" w:lineRule="auto"/>
        <w:rPr>
          <w:rFonts w:ascii="Arial" w:hAnsi="Arial" w:cs="Arial"/>
        </w:rPr>
      </w:pPr>
    </w:p>
    <w:p w14:paraId="6CA225FD" w14:textId="239858C1" w:rsidR="006742FF" w:rsidRDefault="006742FF" w:rsidP="008A70CB">
      <w:pPr>
        <w:spacing w:line="360" w:lineRule="auto"/>
        <w:rPr>
          <w:rFonts w:ascii="Arial" w:hAnsi="Arial" w:cs="Arial"/>
        </w:rPr>
      </w:pPr>
    </w:p>
    <w:p w14:paraId="2691AD52" w14:textId="3DB2E806" w:rsidR="006742FF" w:rsidRDefault="006742FF" w:rsidP="008A70CB">
      <w:pPr>
        <w:spacing w:line="360" w:lineRule="auto"/>
        <w:rPr>
          <w:rFonts w:ascii="Arial" w:hAnsi="Arial" w:cs="Arial"/>
        </w:rPr>
      </w:pPr>
    </w:p>
    <w:p w14:paraId="137C01BA" w14:textId="175B045B" w:rsidR="006742FF" w:rsidRDefault="006742FF" w:rsidP="008A70CB">
      <w:pPr>
        <w:spacing w:line="360" w:lineRule="auto"/>
        <w:rPr>
          <w:rFonts w:ascii="Arial" w:hAnsi="Arial" w:cs="Arial"/>
        </w:rPr>
      </w:pPr>
    </w:p>
    <w:p w14:paraId="19C2CAFD" w14:textId="60F1FAAA" w:rsidR="006742FF" w:rsidRDefault="006742FF" w:rsidP="008A70CB">
      <w:pPr>
        <w:spacing w:line="360" w:lineRule="auto"/>
        <w:rPr>
          <w:rFonts w:ascii="Arial" w:hAnsi="Arial" w:cs="Arial"/>
        </w:rPr>
      </w:pPr>
    </w:p>
    <w:p w14:paraId="3E2A32C9" w14:textId="73EB197D" w:rsidR="006742FF" w:rsidRDefault="006742FF" w:rsidP="008A70CB">
      <w:pPr>
        <w:spacing w:line="360" w:lineRule="auto"/>
        <w:rPr>
          <w:rFonts w:ascii="Arial" w:hAnsi="Arial" w:cs="Arial"/>
        </w:rPr>
      </w:pPr>
    </w:p>
    <w:p w14:paraId="1D3DD3C3" w14:textId="67F1A359" w:rsidR="006742FF" w:rsidRDefault="006742FF" w:rsidP="008A70CB">
      <w:pPr>
        <w:spacing w:line="360" w:lineRule="auto"/>
        <w:rPr>
          <w:rFonts w:ascii="Arial" w:hAnsi="Arial" w:cs="Arial"/>
        </w:rPr>
      </w:pPr>
    </w:p>
    <w:p w14:paraId="3C14806C" w14:textId="798F8912" w:rsidR="006742FF" w:rsidRDefault="006742FF" w:rsidP="008A70CB">
      <w:pPr>
        <w:spacing w:line="360" w:lineRule="auto"/>
        <w:rPr>
          <w:rFonts w:ascii="Arial" w:hAnsi="Arial" w:cs="Arial"/>
        </w:rPr>
      </w:pPr>
    </w:p>
    <w:p w14:paraId="37C080B7" w14:textId="77777777" w:rsidR="006742FF" w:rsidRPr="00707D6E" w:rsidRDefault="006742FF" w:rsidP="008A70CB">
      <w:pPr>
        <w:spacing w:line="360" w:lineRule="auto"/>
        <w:rPr>
          <w:rFonts w:ascii="Arial" w:hAnsi="Arial" w:cs="Arial"/>
        </w:rPr>
      </w:pPr>
    </w:p>
    <w:p w14:paraId="507E652D" w14:textId="20C1D29C" w:rsidR="003A3BA9" w:rsidRPr="00707D6E" w:rsidRDefault="003A3BA9" w:rsidP="008A70CB">
      <w:pPr>
        <w:spacing w:line="360" w:lineRule="auto"/>
        <w:rPr>
          <w:rFonts w:ascii="Arial" w:hAnsi="Arial" w:cs="Arial"/>
          <w:b/>
          <w:bCs/>
          <w:lang w:val="es-ES"/>
        </w:rPr>
      </w:pPr>
      <w:r w:rsidRPr="00707D6E">
        <w:rPr>
          <w:rFonts w:ascii="Arial" w:hAnsi="Arial" w:cs="Arial"/>
          <w:b/>
          <w:bCs/>
          <w:lang w:val="es-ES"/>
        </w:rPr>
        <w:lastRenderedPageBreak/>
        <w:t>Caso clínico</w:t>
      </w:r>
    </w:p>
    <w:p w14:paraId="1ED1E387" w14:textId="222BD023" w:rsidR="00116B49" w:rsidRPr="00707D6E" w:rsidRDefault="00F06F61" w:rsidP="008A70CB">
      <w:pPr>
        <w:spacing w:line="360" w:lineRule="auto"/>
        <w:rPr>
          <w:rFonts w:ascii="Arial" w:hAnsi="Arial" w:cs="Arial"/>
        </w:rPr>
      </w:pPr>
      <w:r w:rsidRPr="00707D6E">
        <w:rPr>
          <w:rFonts w:ascii="Arial" w:hAnsi="Arial" w:cs="Arial"/>
        </w:rPr>
        <w:t xml:space="preserve">Paciente </w:t>
      </w:r>
      <w:r w:rsidR="00ED35D3" w:rsidRPr="00707D6E">
        <w:rPr>
          <w:rFonts w:ascii="Arial" w:hAnsi="Arial" w:cs="Arial"/>
        </w:rPr>
        <w:t>de género</w:t>
      </w:r>
      <w:r w:rsidRPr="00707D6E">
        <w:rPr>
          <w:rFonts w:ascii="Arial" w:hAnsi="Arial" w:cs="Arial"/>
        </w:rPr>
        <w:t xml:space="preserve"> femenino de 13 años</w:t>
      </w:r>
      <w:r w:rsidR="00E4668D">
        <w:rPr>
          <w:rFonts w:ascii="Arial" w:hAnsi="Arial" w:cs="Arial"/>
        </w:rPr>
        <w:t xml:space="preserve"> que</w:t>
      </w:r>
      <w:r w:rsidRPr="00707D6E">
        <w:rPr>
          <w:rFonts w:ascii="Arial" w:hAnsi="Arial" w:cs="Arial"/>
        </w:rPr>
        <w:t xml:space="preserve"> consult</w:t>
      </w:r>
      <w:r w:rsidR="00E4668D">
        <w:rPr>
          <w:rFonts w:ascii="Arial" w:hAnsi="Arial" w:cs="Arial"/>
        </w:rPr>
        <w:t>a en servicio de urgencia</w:t>
      </w:r>
      <w:r w:rsidRPr="00707D6E">
        <w:rPr>
          <w:rFonts w:ascii="Arial" w:hAnsi="Arial" w:cs="Arial"/>
        </w:rPr>
        <w:t xml:space="preserve"> por dolor retroesternal opresivo de </w:t>
      </w:r>
      <w:r w:rsidR="0012697F" w:rsidRPr="00707D6E">
        <w:rPr>
          <w:rFonts w:ascii="Arial" w:hAnsi="Arial" w:cs="Arial"/>
        </w:rPr>
        <w:t>24</w:t>
      </w:r>
      <w:r w:rsidRPr="00707D6E">
        <w:rPr>
          <w:rFonts w:ascii="Arial" w:hAnsi="Arial" w:cs="Arial"/>
        </w:rPr>
        <w:t xml:space="preserve"> hrs de evolución</w:t>
      </w:r>
      <w:r w:rsidR="007534C5" w:rsidRPr="00707D6E">
        <w:rPr>
          <w:rFonts w:ascii="Arial" w:hAnsi="Arial" w:cs="Arial"/>
        </w:rPr>
        <w:t>, EVA 6/10</w:t>
      </w:r>
      <w:r w:rsidR="00A14B8E" w:rsidRPr="00707D6E">
        <w:rPr>
          <w:rFonts w:ascii="Arial" w:hAnsi="Arial" w:cs="Arial"/>
        </w:rPr>
        <w:t xml:space="preserve"> y signos vitales normales</w:t>
      </w:r>
      <w:r w:rsidRPr="00707D6E">
        <w:rPr>
          <w:rFonts w:ascii="Arial" w:hAnsi="Arial" w:cs="Arial"/>
        </w:rPr>
        <w:t>. Al examen físico se palp</w:t>
      </w:r>
      <w:r w:rsidR="00A14B8E" w:rsidRPr="00707D6E">
        <w:rPr>
          <w:rFonts w:ascii="Arial" w:hAnsi="Arial" w:cs="Arial"/>
        </w:rPr>
        <w:t>ó</w:t>
      </w:r>
      <w:r w:rsidRPr="00707D6E">
        <w:rPr>
          <w:rFonts w:ascii="Arial" w:hAnsi="Arial" w:cs="Arial"/>
        </w:rPr>
        <w:t xml:space="preserve"> aumento de volumen paraesternal derecho</w:t>
      </w:r>
      <w:r w:rsidR="00591C56" w:rsidRPr="00707D6E">
        <w:rPr>
          <w:rFonts w:ascii="Arial" w:hAnsi="Arial" w:cs="Arial"/>
        </w:rPr>
        <w:t xml:space="preserve"> que impresionó </w:t>
      </w:r>
      <w:r w:rsidR="00C552DB" w:rsidRPr="00707D6E">
        <w:rPr>
          <w:rFonts w:ascii="Arial" w:hAnsi="Arial" w:cs="Arial"/>
        </w:rPr>
        <w:t>de origen óseo-cartilaginoso, sospech</w:t>
      </w:r>
      <w:r w:rsidR="00980177" w:rsidRPr="00707D6E">
        <w:rPr>
          <w:rFonts w:ascii="Arial" w:hAnsi="Arial" w:cs="Arial"/>
        </w:rPr>
        <w:t>á</w:t>
      </w:r>
      <w:r w:rsidR="00C552DB" w:rsidRPr="00707D6E">
        <w:rPr>
          <w:rFonts w:ascii="Arial" w:hAnsi="Arial" w:cs="Arial"/>
        </w:rPr>
        <w:t>ndose una costocondritis. Se solicitó una</w:t>
      </w:r>
      <w:r w:rsidR="00ED3D32" w:rsidRPr="00707D6E">
        <w:rPr>
          <w:rFonts w:ascii="Arial" w:hAnsi="Arial" w:cs="Arial"/>
        </w:rPr>
        <w:t xml:space="preserve"> radiografía de esternón, </w:t>
      </w:r>
      <w:r w:rsidR="00714BF0">
        <w:rPr>
          <w:rFonts w:ascii="Arial" w:hAnsi="Arial" w:cs="Arial"/>
        </w:rPr>
        <w:t>la cual no</w:t>
      </w:r>
      <w:r w:rsidR="0086533C" w:rsidRPr="00707D6E">
        <w:rPr>
          <w:rFonts w:ascii="Arial" w:hAnsi="Arial" w:cs="Arial"/>
        </w:rPr>
        <w:t xml:space="preserve"> evidenci</w:t>
      </w:r>
      <w:r w:rsidR="00326110">
        <w:rPr>
          <w:rFonts w:ascii="Arial" w:hAnsi="Arial" w:cs="Arial"/>
        </w:rPr>
        <w:t>ó</w:t>
      </w:r>
      <w:r w:rsidR="0086533C" w:rsidRPr="00707D6E">
        <w:rPr>
          <w:rFonts w:ascii="Arial" w:hAnsi="Arial" w:cs="Arial"/>
        </w:rPr>
        <w:t xml:space="preserve"> alteraciones</w:t>
      </w:r>
      <w:r w:rsidR="00C00B25" w:rsidRPr="00707D6E">
        <w:rPr>
          <w:rFonts w:ascii="Arial" w:hAnsi="Arial" w:cs="Arial"/>
        </w:rPr>
        <w:t xml:space="preserve">, indicándose </w:t>
      </w:r>
      <w:r w:rsidR="00B806A0" w:rsidRPr="00707D6E">
        <w:rPr>
          <w:rFonts w:ascii="Arial" w:hAnsi="Arial" w:cs="Arial"/>
        </w:rPr>
        <w:t>manejo m</w:t>
      </w:r>
      <w:r w:rsidR="00532F52" w:rsidRPr="00707D6E">
        <w:rPr>
          <w:rFonts w:ascii="Arial" w:hAnsi="Arial" w:cs="Arial"/>
        </w:rPr>
        <w:t>é</w:t>
      </w:r>
      <w:r w:rsidR="00B806A0" w:rsidRPr="00707D6E">
        <w:rPr>
          <w:rFonts w:ascii="Arial" w:hAnsi="Arial" w:cs="Arial"/>
        </w:rPr>
        <w:t>dico</w:t>
      </w:r>
      <w:r w:rsidRPr="00707D6E">
        <w:rPr>
          <w:rFonts w:ascii="Arial" w:hAnsi="Arial" w:cs="Arial"/>
        </w:rPr>
        <w:t xml:space="preserve">. </w:t>
      </w:r>
      <w:r w:rsidR="00304A96" w:rsidRPr="00707D6E">
        <w:rPr>
          <w:rFonts w:ascii="Arial" w:hAnsi="Arial" w:cs="Arial"/>
        </w:rPr>
        <w:t xml:space="preserve">La paciente </w:t>
      </w:r>
      <w:r w:rsidR="00D4558C" w:rsidRPr="00707D6E">
        <w:rPr>
          <w:rFonts w:ascii="Arial" w:hAnsi="Arial" w:cs="Arial"/>
        </w:rPr>
        <w:t>vuelve a consultar</w:t>
      </w:r>
      <w:r w:rsidR="00304A96" w:rsidRPr="00707D6E">
        <w:rPr>
          <w:rFonts w:ascii="Arial" w:hAnsi="Arial" w:cs="Arial"/>
        </w:rPr>
        <w:t xml:space="preserve"> un </w:t>
      </w:r>
      <w:r w:rsidR="00350297" w:rsidRPr="00707D6E">
        <w:rPr>
          <w:rFonts w:ascii="Arial" w:hAnsi="Arial" w:cs="Arial"/>
        </w:rPr>
        <w:t>mes</w:t>
      </w:r>
      <w:r w:rsidR="00304A96" w:rsidRPr="00707D6E">
        <w:rPr>
          <w:rFonts w:ascii="Arial" w:hAnsi="Arial" w:cs="Arial"/>
        </w:rPr>
        <w:t xml:space="preserve"> y medio </w:t>
      </w:r>
      <w:r w:rsidR="006D7591">
        <w:rPr>
          <w:rFonts w:ascii="Arial" w:hAnsi="Arial" w:cs="Arial"/>
        </w:rPr>
        <w:t>después</w:t>
      </w:r>
      <w:r w:rsidR="00350297" w:rsidRPr="00707D6E">
        <w:rPr>
          <w:rFonts w:ascii="Arial" w:hAnsi="Arial" w:cs="Arial"/>
        </w:rPr>
        <w:t xml:space="preserve"> </w:t>
      </w:r>
      <w:r w:rsidR="00F848ED" w:rsidRPr="00707D6E">
        <w:rPr>
          <w:rFonts w:ascii="Arial" w:hAnsi="Arial" w:cs="Arial"/>
        </w:rPr>
        <w:t>con mayor aumento de volumen</w:t>
      </w:r>
      <w:r w:rsidR="001E1C50" w:rsidRPr="00707D6E">
        <w:rPr>
          <w:rFonts w:ascii="Arial" w:hAnsi="Arial" w:cs="Arial"/>
        </w:rPr>
        <w:t>, solicitándose una tomografía computada de tórax</w:t>
      </w:r>
      <w:r w:rsidR="00CF0389" w:rsidRPr="00707D6E">
        <w:rPr>
          <w:rFonts w:ascii="Arial" w:hAnsi="Arial" w:cs="Arial"/>
        </w:rPr>
        <w:t>,</w:t>
      </w:r>
      <w:r w:rsidR="00321CF6" w:rsidRPr="00707D6E">
        <w:rPr>
          <w:rFonts w:ascii="Arial" w:hAnsi="Arial" w:cs="Arial"/>
        </w:rPr>
        <w:t xml:space="preserve"> </w:t>
      </w:r>
      <w:r w:rsidR="009D11F8" w:rsidRPr="00707D6E">
        <w:rPr>
          <w:rFonts w:ascii="Arial" w:hAnsi="Arial" w:cs="Arial"/>
        </w:rPr>
        <w:t>la cual detect</w:t>
      </w:r>
      <w:r w:rsidR="00B60C07" w:rsidRPr="00707D6E">
        <w:rPr>
          <w:rFonts w:ascii="Arial" w:hAnsi="Arial" w:cs="Arial"/>
        </w:rPr>
        <w:t>ó</w:t>
      </w:r>
      <w:r w:rsidR="00321CF6" w:rsidRPr="00707D6E">
        <w:rPr>
          <w:rFonts w:ascii="Arial" w:hAnsi="Arial" w:cs="Arial"/>
        </w:rPr>
        <w:t xml:space="preserve"> una masa de partes blandas infiltrativa</w:t>
      </w:r>
      <w:r w:rsidR="00B92444">
        <w:rPr>
          <w:rFonts w:ascii="Arial" w:hAnsi="Arial" w:cs="Arial"/>
        </w:rPr>
        <w:t xml:space="preserve"> en el </w:t>
      </w:r>
      <w:r w:rsidR="00321CF6" w:rsidRPr="00707D6E">
        <w:rPr>
          <w:rFonts w:ascii="Arial" w:hAnsi="Arial" w:cs="Arial"/>
        </w:rPr>
        <w:t>esternón</w:t>
      </w:r>
      <w:r w:rsidR="00923BCE" w:rsidRPr="00707D6E">
        <w:rPr>
          <w:rFonts w:ascii="Arial" w:hAnsi="Arial" w:cs="Arial"/>
        </w:rPr>
        <w:t xml:space="preserve"> (Fig. </w:t>
      </w:r>
      <w:r w:rsidR="00EF513E">
        <w:rPr>
          <w:rFonts w:ascii="Arial" w:hAnsi="Arial" w:cs="Arial"/>
        </w:rPr>
        <w:t>1</w:t>
      </w:r>
      <w:r w:rsidR="002767F5">
        <w:rPr>
          <w:rFonts w:ascii="Arial" w:hAnsi="Arial" w:cs="Arial"/>
        </w:rPr>
        <w:t>,</w:t>
      </w:r>
      <w:r w:rsidR="00A14B94">
        <w:rPr>
          <w:rFonts w:ascii="Arial" w:hAnsi="Arial" w:cs="Arial"/>
        </w:rPr>
        <w:t>a</w:t>
      </w:r>
      <w:r w:rsidR="00923BCE" w:rsidRPr="00707D6E">
        <w:rPr>
          <w:rFonts w:ascii="Arial" w:hAnsi="Arial" w:cs="Arial"/>
        </w:rPr>
        <w:t>)</w:t>
      </w:r>
      <w:r w:rsidR="004B5C6E" w:rsidRPr="00707D6E">
        <w:rPr>
          <w:rFonts w:ascii="Arial" w:hAnsi="Arial" w:cs="Arial"/>
        </w:rPr>
        <w:t xml:space="preserve">, </w:t>
      </w:r>
      <w:r w:rsidR="009D11F8" w:rsidRPr="00707D6E">
        <w:rPr>
          <w:rFonts w:ascii="Arial" w:hAnsi="Arial" w:cs="Arial"/>
        </w:rPr>
        <w:t>altamente</w:t>
      </w:r>
      <w:r w:rsidR="004B5C6E" w:rsidRPr="00707D6E">
        <w:rPr>
          <w:rFonts w:ascii="Arial" w:hAnsi="Arial" w:cs="Arial"/>
        </w:rPr>
        <w:t xml:space="preserve"> sospech</w:t>
      </w:r>
      <w:r w:rsidR="009D11F8" w:rsidRPr="00707D6E">
        <w:rPr>
          <w:rFonts w:ascii="Arial" w:hAnsi="Arial" w:cs="Arial"/>
        </w:rPr>
        <w:t>osa</w:t>
      </w:r>
      <w:r w:rsidR="004B5C6E" w:rsidRPr="00707D6E">
        <w:rPr>
          <w:rFonts w:ascii="Arial" w:hAnsi="Arial" w:cs="Arial"/>
        </w:rPr>
        <w:t xml:space="preserve"> de </w:t>
      </w:r>
      <w:r w:rsidR="00116B49" w:rsidRPr="00707D6E">
        <w:rPr>
          <w:rFonts w:ascii="Arial" w:hAnsi="Arial" w:cs="Arial"/>
        </w:rPr>
        <w:t>sarcoma óseo</w:t>
      </w:r>
      <w:r w:rsidR="00B90491" w:rsidRPr="00707D6E">
        <w:rPr>
          <w:rFonts w:ascii="Arial" w:hAnsi="Arial" w:cs="Arial"/>
        </w:rPr>
        <w:t xml:space="preserve">, sin </w:t>
      </w:r>
      <w:r w:rsidR="00E47024" w:rsidRPr="00707D6E">
        <w:rPr>
          <w:rFonts w:ascii="Arial" w:hAnsi="Arial" w:cs="Arial"/>
        </w:rPr>
        <w:t>evidencia de metástasis pulmonares</w:t>
      </w:r>
      <w:r w:rsidR="00321CF6" w:rsidRPr="00707D6E">
        <w:rPr>
          <w:rFonts w:ascii="Arial" w:hAnsi="Arial" w:cs="Arial"/>
        </w:rPr>
        <w:t>.</w:t>
      </w:r>
      <w:r w:rsidR="00116B49" w:rsidRPr="00707D6E">
        <w:rPr>
          <w:rFonts w:ascii="Arial" w:hAnsi="Arial" w:cs="Arial"/>
        </w:rPr>
        <w:t xml:space="preserve"> Se realizó biopsia del tumor primario, confirm</w:t>
      </w:r>
      <w:r w:rsidR="00ED765D" w:rsidRPr="00707D6E">
        <w:rPr>
          <w:rFonts w:ascii="Arial" w:hAnsi="Arial" w:cs="Arial"/>
        </w:rPr>
        <w:t>ando</w:t>
      </w:r>
      <w:r w:rsidR="00116B49" w:rsidRPr="00707D6E">
        <w:rPr>
          <w:rFonts w:ascii="Arial" w:hAnsi="Arial" w:cs="Arial"/>
        </w:rPr>
        <w:t xml:space="preserve"> un sarcoma de Ewing de origen esternal. </w:t>
      </w:r>
      <w:r w:rsidR="00570BFD" w:rsidRPr="00707D6E">
        <w:rPr>
          <w:rFonts w:ascii="Arial" w:hAnsi="Arial" w:cs="Arial"/>
        </w:rPr>
        <w:t>Como estudio de e</w:t>
      </w:r>
      <w:r w:rsidR="00DF4302" w:rsidRPr="00707D6E">
        <w:rPr>
          <w:rFonts w:ascii="Arial" w:hAnsi="Arial" w:cs="Arial"/>
        </w:rPr>
        <w:t xml:space="preserve">tapificación se indicó cintigrafía ósea, la cual </w:t>
      </w:r>
      <w:r w:rsidR="00F9439E" w:rsidRPr="00707D6E">
        <w:rPr>
          <w:rFonts w:ascii="Arial" w:hAnsi="Arial" w:cs="Arial"/>
        </w:rPr>
        <w:t xml:space="preserve">solo </w:t>
      </w:r>
      <w:r w:rsidR="00DF4302" w:rsidRPr="00707D6E">
        <w:rPr>
          <w:rFonts w:ascii="Arial" w:hAnsi="Arial" w:cs="Arial"/>
        </w:rPr>
        <w:t xml:space="preserve">detectó captación esternal focal debido a </w:t>
      </w:r>
      <w:r w:rsidR="00D96004">
        <w:rPr>
          <w:rFonts w:ascii="Arial" w:hAnsi="Arial" w:cs="Arial"/>
        </w:rPr>
        <w:t xml:space="preserve">la </w:t>
      </w:r>
      <w:r w:rsidR="00DF4302" w:rsidRPr="00707D6E">
        <w:rPr>
          <w:rFonts w:ascii="Arial" w:hAnsi="Arial" w:cs="Arial"/>
        </w:rPr>
        <w:t xml:space="preserve">actividad osteoblástica en </w:t>
      </w:r>
      <w:r w:rsidR="00D654AE" w:rsidRPr="00707D6E">
        <w:rPr>
          <w:rFonts w:ascii="Arial" w:hAnsi="Arial" w:cs="Arial"/>
        </w:rPr>
        <w:t xml:space="preserve">el sitio del tumor primario </w:t>
      </w:r>
      <w:r w:rsidR="00B93C8B" w:rsidRPr="00707D6E">
        <w:rPr>
          <w:rFonts w:ascii="Arial" w:hAnsi="Arial" w:cs="Arial"/>
        </w:rPr>
        <w:t xml:space="preserve">(Fig. </w:t>
      </w:r>
      <w:r w:rsidR="006C0FC4">
        <w:rPr>
          <w:rFonts w:ascii="Arial" w:hAnsi="Arial" w:cs="Arial"/>
        </w:rPr>
        <w:t>1</w:t>
      </w:r>
      <w:r w:rsidR="00866429">
        <w:rPr>
          <w:rFonts w:ascii="Arial" w:hAnsi="Arial" w:cs="Arial"/>
        </w:rPr>
        <w:t>,</w:t>
      </w:r>
      <w:r w:rsidR="00A14B94">
        <w:rPr>
          <w:rFonts w:ascii="Arial" w:hAnsi="Arial" w:cs="Arial"/>
        </w:rPr>
        <w:t>b</w:t>
      </w:r>
      <w:r w:rsidR="00B93C8B" w:rsidRPr="00707D6E">
        <w:rPr>
          <w:rFonts w:ascii="Arial" w:hAnsi="Arial" w:cs="Arial"/>
        </w:rPr>
        <w:t xml:space="preserve">) </w:t>
      </w:r>
      <w:r w:rsidR="00D654AE" w:rsidRPr="00707D6E">
        <w:rPr>
          <w:rFonts w:ascii="Arial" w:hAnsi="Arial" w:cs="Arial"/>
        </w:rPr>
        <w:t>y una biopsia de cresta iliaca unilateral con resultado negativo.</w:t>
      </w:r>
      <w:r w:rsidR="00B93C8B" w:rsidRPr="00707D6E">
        <w:rPr>
          <w:rFonts w:ascii="Arial" w:hAnsi="Arial" w:cs="Arial"/>
        </w:rPr>
        <w:t xml:space="preserve"> </w:t>
      </w:r>
      <w:r w:rsidR="00777D74" w:rsidRPr="00707D6E">
        <w:rPr>
          <w:rFonts w:ascii="Arial" w:hAnsi="Arial" w:cs="Arial"/>
        </w:rPr>
        <w:t>Con posterioridad se solicitó PET</w:t>
      </w:r>
      <w:r w:rsidR="00C878E0" w:rsidRPr="00707D6E">
        <w:rPr>
          <w:rFonts w:ascii="Arial" w:hAnsi="Arial" w:cs="Arial"/>
        </w:rPr>
        <w:t>/</w:t>
      </w:r>
      <w:r w:rsidR="00777D74" w:rsidRPr="00707D6E">
        <w:rPr>
          <w:rFonts w:ascii="Arial" w:hAnsi="Arial" w:cs="Arial"/>
        </w:rPr>
        <w:t>CT</w:t>
      </w:r>
      <w:r w:rsidR="00C878E0" w:rsidRPr="00707D6E">
        <w:rPr>
          <w:rFonts w:ascii="Arial" w:hAnsi="Arial" w:cs="Arial"/>
        </w:rPr>
        <w:t xml:space="preserve"> FDG-F18</w:t>
      </w:r>
      <w:r w:rsidR="00537856" w:rsidRPr="00707D6E">
        <w:rPr>
          <w:rFonts w:ascii="Arial" w:hAnsi="Arial" w:cs="Arial"/>
        </w:rPr>
        <w:t>,</w:t>
      </w:r>
      <w:r w:rsidR="00777D74" w:rsidRPr="00707D6E">
        <w:rPr>
          <w:rFonts w:ascii="Arial" w:hAnsi="Arial" w:cs="Arial"/>
        </w:rPr>
        <w:t xml:space="preserve"> previo </w:t>
      </w:r>
      <w:r w:rsidR="00B90491" w:rsidRPr="00707D6E">
        <w:rPr>
          <w:rFonts w:ascii="Arial" w:hAnsi="Arial" w:cs="Arial"/>
        </w:rPr>
        <w:t>al inicio de la terapia</w:t>
      </w:r>
      <w:r w:rsidR="00537856" w:rsidRPr="00707D6E">
        <w:rPr>
          <w:rFonts w:ascii="Arial" w:hAnsi="Arial" w:cs="Arial"/>
        </w:rPr>
        <w:t>,</w:t>
      </w:r>
      <w:r w:rsidR="00702414" w:rsidRPr="00707D6E">
        <w:rPr>
          <w:rFonts w:ascii="Arial" w:hAnsi="Arial" w:cs="Arial"/>
        </w:rPr>
        <w:t xml:space="preserve"> el cual además del tumor primario esternal hipermetabólico, detectó múltiples pequeñas lesiones </w:t>
      </w:r>
      <w:r w:rsidR="004E353B" w:rsidRPr="00707D6E">
        <w:rPr>
          <w:rFonts w:ascii="Arial" w:hAnsi="Arial" w:cs="Arial"/>
        </w:rPr>
        <w:t>osteolíticas</w:t>
      </w:r>
      <w:r w:rsidR="00702414" w:rsidRPr="00707D6E">
        <w:rPr>
          <w:rFonts w:ascii="Arial" w:hAnsi="Arial" w:cs="Arial"/>
        </w:rPr>
        <w:t xml:space="preserve"> hipercaptantes</w:t>
      </w:r>
      <w:r w:rsidR="00325B71" w:rsidRPr="00707D6E">
        <w:rPr>
          <w:rFonts w:ascii="Arial" w:hAnsi="Arial" w:cs="Arial"/>
        </w:rPr>
        <w:t xml:space="preserve"> y focos hipermetabólicos en la médula ósea compatible con localizaciones secundarias (Fig. </w:t>
      </w:r>
      <w:r w:rsidR="006C0FC4">
        <w:rPr>
          <w:rFonts w:ascii="Arial" w:hAnsi="Arial" w:cs="Arial"/>
        </w:rPr>
        <w:t>1</w:t>
      </w:r>
      <w:r w:rsidR="00833EF2">
        <w:rPr>
          <w:rFonts w:ascii="Arial" w:hAnsi="Arial" w:cs="Arial"/>
        </w:rPr>
        <w:t>,</w:t>
      </w:r>
      <w:r w:rsidR="00A14B94">
        <w:rPr>
          <w:rFonts w:ascii="Arial" w:hAnsi="Arial" w:cs="Arial"/>
        </w:rPr>
        <w:t>c,d</w:t>
      </w:r>
      <w:r w:rsidR="00325B71" w:rsidRPr="00707D6E">
        <w:rPr>
          <w:rFonts w:ascii="Arial" w:hAnsi="Arial" w:cs="Arial"/>
        </w:rPr>
        <w:t>)</w:t>
      </w:r>
      <w:r w:rsidR="00B90491" w:rsidRPr="00707D6E">
        <w:rPr>
          <w:rFonts w:ascii="Arial" w:hAnsi="Arial" w:cs="Arial"/>
        </w:rPr>
        <w:t>.</w:t>
      </w:r>
    </w:p>
    <w:p w14:paraId="0DFBFEA1" w14:textId="4B2A6874" w:rsidR="00D00D9C" w:rsidRPr="00707D6E" w:rsidRDefault="00354A10" w:rsidP="008A70CB">
      <w:pPr>
        <w:spacing w:line="360" w:lineRule="auto"/>
        <w:rPr>
          <w:rFonts w:ascii="Arial" w:hAnsi="Arial" w:cs="Arial"/>
        </w:rPr>
      </w:pPr>
      <w:r w:rsidRPr="00707D6E">
        <w:rPr>
          <w:rFonts w:ascii="Arial" w:hAnsi="Arial" w:cs="Arial"/>
        </w:rPr>
        <w:t>Luego de c</w:t>
      </w:r>
      <w:r w:rsidR="00AE7437" w:rsidRPr="00707D6E">
        <w:rPr>
          <w:rFonts w:ascii="Arial" w:hAnsi="Arial" w:cs="Arial"/>
        </w:rPr>
        <w:t>uatro meses</w:t>
      </w:r>
      <w:r w:rsidRPr="00707D6E">
        <w:rPr>
          <w:rFonts w:ascii="Arial" w:hAnsi="Arial" w:cs="Arial"/>
        </w:rPr>
        <w:t xml:space="preserve"> de </w:t>
      </w:r>
      <w:r w:rsidR="00AE7437" w:rsidRPr="00707D6E">
        <w:rPr>
          <w:rFonts w:ascii="Arial" w:hAnsi="Arial" w:cs="Arial"/>
        </w:rPr>
        <w:t xml:space="preserve">inicio de la </w:t>
      </w:r>
      <w:r w:rsidR="008C5D55" w:rsidRPr="00707D6E">
        <w:rPr>
          <w:rFonts w:ascii="Arial" w:hAnsi="Arial" w:cs="Arial"/>
        </w:rPr>
        <w:t>quimioterapia se reevaluó con PET</w:t>
      </w:r>
      <w:r w:rsidR="00EF1D60" w:rsidRPr="00707D6E">
        <w:rPr>
          <w:rFonts w:ascii="Arial" w:hAnsi="Arial" w:cs="Arial"/>
        </w:rPr>
        <w:t>/</w:t>
      </w:r>
      <w:r w:rsidR="008C5D55" w:rsidRPr="00707D6E">
        <w:rPr>
          <w:rFonts w:ascii="Arial" w:hAnsi="Arial" w:cs="Arial"/>
        </w:rPr>
        <w:t>CT</w:t>
      </w:r>
      <w:r w:rsidR="00971FF2" w:rsidRPr="00707D6E">
        <w:rPr>
          <w:rFonts w:ascii="Arial" w:hAnsi="Arial" w:cs="Arial"/>
        </w:rPr>
        <w:t>,</w:t>
      </w:r>
      <w:r w:rsidR="008C5D55" w:rsidRPr="00707D6E">
        <w:rPr>
          <w:rFonts w:ascii="Arial" w:hAnsi="Arial" w:cs="Arial"/>
        </w:rPr>
        <w:t xml:space="preserve"> el cual demostró respuesta metabólica completa tanto de la lesión tumoral primaria como de las </w:t>
      </w:r>
      <w:r w:rsidR="000F47EE" w:rsidRPr="00707D6E">
        <w:rPr>
          <w:rFonts w:ascii="Arial" w:hAnsi="Arial" w:cs="Arial"/>
        </w:rPr>
        <w:t>lesiones óseas e infiltración medular</w:t>
      </w:r>
      <w:r w:rsidR="00DE0D5A" w:rsidRPr="00707D6E">
        <w:rPr>
          <w:rFonts w:ascii="Arial" w:hAnsi="Arial" w:cs="Arial"/>
        </w:rPr>
        <w:t xml:space="preserve"> (Fig. </w:t>
      </w:r>
      <w:r w:rsidR="00930894">
        <w:rPr>
          <w:rFonts w:ascii="Arial" w:hAnsi="Arial" w:cs="Arial"/>
        </w:rPr>
        <w:t>2</w:t>
      </w:r>
      <w:r w:rsidR="00DE0D5A" w:rsidRPr="00707D6E">
        <w:rPr>
          <w:rFonts w:ascii="Arial" w:hAnsi="Arial" w:cs="Arial"/>
        </w:rPr>
        <w:t>)</w:t>
      </w:r>
      <w:r w:rsidR="000F47EE" w:rsidRPr="00707D6E">
        <w:rPr>
          <w:rFonts w:ascii="Arial" w:hAnsi="Arial" w:cs="Arial"/>
        </w:rPr>
        <w:t>.</w:t>
      </w:r>
    </w:p>
    <w:p w14:paraId="08DB5F28" w14:textId="1F25E630" w:rsidR="000916FF" w:rsidRPr="00707D6E" w:rsidRDefault="000916FF" w:rsidP="008A70CB">
      <w:pPr>
        <w:spacing w:line="360" w:lineRule="auto"/>
        <w:rPr>
          <w:rFonts w:ascii="Arial" w:hAnsi="Arial" w:cs="Arial"/>
        </w:rPr>
      </w:pPr>
    </w:p>
    <w:p w14:paraId="0BFC93E3" w14:textId="73C213C6" w:rsidR="00E05E15" w:rsidRPr="00707D6E" w:rsidRDefault="00E05E15" w:rsidP="008A70CB">
      <w:pPr>
        <w:spacing w:line="360" w:lineRule="auto"/>
        <w:rPr>
          <w:rFonts w:ascii="Arial" w:hAnsi="Arial" w:cs="Arial"/>
        </w:rPr>
      </w:pPr>
    </w:p>
    <w:p w14:paraId="777D887D" w14:textId="6F16AFFD" w:rsidR="00E05E15" w:rsidRDefault="00E05E15" w:rsidP="008A70CB">
      <w:pPr>
        <w:spacing w:line="360" w:lineRule="auto"/>
        <w:rPr>
          <w:rFonts w:ascii="Arial" w:hAnsi="Arial" w:cs="Arial"/>
        </w:rPr>
      </w:pPr>
    </w:p>
    <w:p w14:paraId="546A7000" w14:textId="125789D8" w:rsidR="006742FF" w:rsidRDefault="006742FF" w:rsidP="008A70CB">
      <w:pPr>
        <w:spacing w:line="360" w:lineRule="auto"/>
        <w:rPr>
          <w:rFonts w:ascii="Arial" w:hAnsi="Arial" w:cs="Arial"/>
        </w:rPr>
      </w:pPr>
    </w:p>
    <w:p w14:paraId="434FCEC7" w14:textId="67BC81AE" w:rsidR="006742FF" w:rsidRDefault="006742FF" w:rsidP="008A70CB">
      <w:pPr>
        <w:spacing w:line="360" w:lineRule="auto"/>
        <w:rPr>
          <w:rFonts w:ascii="Arial" w:hAnsi="Arial" w:cs="Arial"/>
        </w:rPr>
      </w:pPr>
    </w:p>
    <w:p w14:paraId="45C7E4CD" w14:textId="20A1583A" w:rsidR="006742FF" w:rsidRDefault="006742FF" w:rsidP="008A70CB">
      <w:pPr>
        <w:spacing w:line="360" w:lineRule="auto"/>
        <w:rPr>
          <w:rFonts w:ascii="Arial" w:hAnsi="Arial" w:cs="Arial"/>
        </w:rPr>
      </w:pPr>
    </w:p>
    <w:p w14:paraId="68C2750C" w14:textId="07112E3F" w:rsidR="006742FF" w:rsidRDefault="006742FF" w:rsidP="008A70CB">
      <w:pPr>
        <w:spacing w:line="360" w:lineRule="auto"/>
        <w:rPr>
          <w:rFonts w:ascii="Arial" w:hAnsi="Arial" w:cs="Arial"/>
        </w:rPr>
      </w:pPr>
    </w:p>
    <w:p w14:paraId="7A7DC0CF" w14:textId="77777777" w:rsidR="00B92444" w:rsidRDefault="00B92444" w:rsidP="008A70CB">
      <w:pPr>
        <w:spacing w:line="360" w:lineRule="auto"/>
        <w:rPr>
          <w:rFonts w:ascii="Arial" w:hAnsi="Arial" w:cs="Arial"/>
        </w:rPr>
      </w:pPr>
    </w:p>
    <w:p w14:paraId="39B2DB0C" w14:textId="05DC9646" w:rsidR="003A3BA9" w:rsidRPr="00707D6E" w:rsidRDefault="003A3BA9" w:rsidP="008A70CB">
      <w:pPr>
        <w:spacing w:line="360" w:lineRule="auto"/>
        <w:rPr>
          <w:rFonts w:ascii="Arial" w:hAnsi="Arial" w:cs="Arial"/>
          <w:b/>
          <w:bCs/>
          <w:lang w:val="es-ES"/>
        </w:rPr>
      </w:pPr>
      <w:r w:rsidRPr="00707D6E">
        <w:rPr>
          <w:rFonts w:ascii="Arial" w:hAnsi="Arial" w:cs="Arial"/>
          <w:b/>
          <w:bCs/>
          <w:lang w:val="es-ES"/>
        </w:rPr>
        <w:lastRenderedPageBreak/>
        <w:t>Discusión</w:t>
      </w:r>
    </w:p>
    <w:p w14:paraId="06D0A282" w14:textId="77777777" w:rsidR="00FB7841" w:rsidRDefault="0027698C" w:rsidP="008A70CB">
      <w:pPr>
        <w:spacing w:line="360" w:lineRule="auto"/>
        <w:rPr>
          <w:rFonts w:ascii="Arial" w:hAnsi="Arial" w:cs="Arial"/>
          <w:lang w:val="es-ES"/>
        </w:rPr>
      </w:pPr>
      <w:r w:rsidRPr="00707D6E">
        <w:rPr>
          <w:rFonts w:ascii="Arial" w:hAnsi="Arial" w:cs="Arial"/>
          <w:lang w:val="es-ES"/>
        </w:rPr>
        <w:t xml:space="preserve">El sarcoma de </w:t>
      </w:r>
      <w:proofErr w:type="spellStart"/>
      <w:r w:rsidRPr="00707D6E">
        <w:rPr>
          <w:rFonts w:ascii="Arial" w:hAnsi="Arial" w:cs="Arial"/>
          <w:lang w:val="es-ES"/>
        </w:rPr>
        <w:t>Ewing</w:t>
      </w:r>
      <w:proofErr w:type="spellEnd"/>
      <w:r w:rsidRPr="00707D6E">
        <w:rPr>
          <w:rFonts w:ascii="Arial" w:hAnsi="Arial" w:cs="Arial"/>
          <w:lang w:val="es-ES"/>
        </w:rPr>
        <w:t xml:space="preserve"> </w:t>
      </w:r>
      <w:r w:rsidR="00BF4A44" w:rsidRPr="00707D6E">
        <w:rPr>
          <w:rFonts w:ascii="Arial" w:hAnsi="Arial" w:cs="Arial"/>
          <w:lang w:val="es-ES"/>
        </w:rPr>
        <w:t xml:space="preserve">corresponde </w:t>
      </w:r>
      <w:r w:rsidR="00A35BE6" w:rsidRPr="00707D6E">
        <w:rPr>
          <w:rFonts w:ascii="Arial" w:hAnsi="Arial" w:cs="Arial"/>
          <w:lang w:val="es-ES"/>
        </w:rPr>
        <w:t xml:space="preserve">a una neoplasia </w:t>
      </w:r>
      <w:r w:rsidR="00D006F7" w:rsidRPr="00707D6E">
        <w:rPr>
          <w:rFonts w:ascii="Arial" w:hAnsi="Arial" w:cs="Arial"/>
          <w:lang w:val="es-ES"/>
        </w:rPr>
        <w:t xml:space="preserve">pediátrica agresiva, </w:t>
      </w:r>
      <w:r w:rsidR="00BF1499" w:rsidRPr="00707D6E">
        <w:rPr>
          <w:rFonts w:ascii="Arial" w:hAnsi="Arial" w:cs="Arial"/>
          <w:lang w:val="es-ES"/>
        </w:rPr>
        <w:t xml:space="preserve">parte de </w:t>
      </w:r>
      <w:r w:rsidR="00C53426" w:rsidRPr="00707D6E">
        <w:rPr>
          <w:rFonts w:ascii="Arial" w:hAnsi="Arial" w:cs="Arial"/>
          <w:lang w:val="es-ES"/>
        </w:rPr>
        <w:t>la</w:t>
      </w:r>
      <w:r w:rsidR="00BF1499" w:rsidRPr="00707D6E">
        <w:rPr>
          <w:rFonts w:ascii="Arial" w:hAnsi="Arial" w:cs="Arial"/>
          <w:lang w:val="es-ES"/>
        </w:rPr>
        <w:t xml:space="preserve"> familia de tumores del tipo células peq</w:t>
      </w:r>
      <w:r w:rsidR="00C26CC9" w:rsidRPr="00707D6E">
        <w:rPr>
          <w:rFonts w:ascii="Arial" w:hAnsi="Arial" w:cs="Arial"/>
          <w:lang w:val="es-ES"/>
        </w:rPr>
        <w:t>ueñas redondas azules</w:t>
      </w:r>
      <w:r w:rsidR="00FB7841">
        <w:rPr>
          <w:rFonts w:ascii="Arial" w:hAnsi="Arial" w:cs="Arial"/>
          <w:lang w:val="es-ES"/>
        </w:rPr>
        <w:t xml:space="preserve">, con mayor frecuencia de origen óseo y menos frecuentemente de origen </w:t>
      </w:r>
      <w:proofErr w:type="spellStart"/>
      <w:r w:rsidR="00FB7841">
        <w:rPr>
          <w:rFonts w:ascii="Arial" w:hAnsi="Arial" w:cs="Arial"/>
          <w:lang w:val="es-ES"/>
        </w:rPr>
        <w:t>extraóseo</w:t>
      </w:r>
      <w:proofErr w:type="spellEnd"/>
      <w:r w:rsidR="00C26CC9" w:rsidRPr="00707D6E">
        <w:rPr>
          <w:rFonts w:ascii="Arial" w:hAnsi="Arial" w:cs="Arial"/>
          <w:lang w:val="es-ES"/>
        </w:rPr>
        <w:t>.</w:t>
      </w:r>
    </w:p>
    <w:p w14:paraId="0DE88722" w14:textId="60EC4F0A" w:rsidR="00C81861" w:rsidRPr="00707D6E" w:rsidRDefault="002557F6" w:rsidP="008A70CB">
      <w:pPr>
        <w:spacing w:line="360" w:lineRule="auto"/>
        <w:rPr>
          <w:rFonts w:ascii="Arial" w:hAnsi="Arial" w:cs="Arial"/>
          <w:lang w:val="es-ES"/>
        </w:rPr>
      </w:pPr>
      <w:r w:rsidRPr="00707D6E">
        <w:rPr>
          <w:rFonts w:ascii="Arial" w:hAnsi="Arial" w:cs="Arial"/>
          <w:lang w:val="es-ES"/>
        </w:rPr>
        <w:t>Dentro de los</w:t>
      </w:r>
      <w:r w:rsidR="00C26CC9" w:rsidRPr="00707D6E">
        <w:rPr>
          <w:rFonts w:ascii="Arial" w:hAnsi="Arial" w:cs="Arial"/>
          <w:lang w:val="es-ES"/>
        </w:rPr>
        <w:t xml:space="preserve"> principales factores </w:t>
      </w:r>
      <w:r w:rsidR="00D62A5A" w:rsidRPr="00707D6E">
        <w:rPr>
          <w:rFonts w:ascii="Arial" w:hAnsi="Arial" w:cs="Arial"/>
          <w:lang w:val="es-ES"/>
        </w:rPr>
        <w:t xml:space="preserve">de sobrevida se encuentra la </w:t>
      </w:r>
      <w:r w:rsidR="002221B8" w:rsidRPr="00707D6E">
        <w:rPr>
          <w:rFonts w:ascii="Arial" w:hAnsi="Arial" w:cs="Arial"/>
          <w:lang w:val="es-ES"/>
        </w:rPr>
        <w:t>existencia</w:t>
      </w:r>
      <w:r w:rsidR="00D62A5A" w:rsidRPr="00707D6E">
        <w:rPr>
          <w:rFonts w:ascii="Arial" w:hAnsi="Arial" w:cs="Arial"/>
          <w:lang w:val="es-ES"/>
        </w:rPr>
        <w:t xml:space="preserve"> de </w:t>
      </w:r>
      <w:r w:rsidR="00560569" w:rsidRPr="00707D6E">
        <w:rPr>
          <w:rFonts w:ascii="Arial" w:hAnsi="Arial" w:cs="Arial"/>
          <w:lang w:val="es-ES"/>
        </w:rPr>
        <w:t>metástasis</w:t>
      </w:r>
      <w:r w:rsidR="00FB7841">
        <w:rPr>
          <w:rFonts w:ascii="Arial" w:hAnsi="Arial" w:cs="Arial"/>
          <w:lang w:val="es-ES"/>
        </w:rPr>
        <w:t xml:space="preserve"> al momento del diagnóstico</w:t>
      </w:r>
      <w:r w:rsidR="00C30280" w:rsidRPr="00707D6E">
        <w:rPr>
          <w:rFonts w:ascii="Arial" w:hAnsi="Arial" w:cs="Arial"/>
          <w:lang w:val="es-ES"/>
        </w:rPr>
        <w:t xml:space="preserve">, </w:t>
      </w:r>
      <w:r w:rsidR="00FB7841">
        <w:rPr>
          <w:rFonts w:ascii="Arial" w:hAnsi="Arial" w:cs="Arial"/>
          <w:lang w:val="es-ES"/>
        </w:rPr>
        <w:t xml:space="preserve">hallazgo </w:t>
      </w:r>
      <w:r w:rsidR="00D83BAA" w:rsidRPr="00707D6E">
        <w:rPr>
          <w:rFonts w:ascii="Arial" w:hAnsi="Arial" w:cs="Arial"/>
          <w:lang w:val="es-ES"/>
        </w:rPr>
        <w:t xml:space="preserve">presente en 25% de los pacientes, </w:t>
      </w:r>
      <w:r w:rsidR="00B9261C" w:rsidRPr="00707D6E">
        <w:rPr>
          <w:rFonts w:ascii="Arial" w:hAnsi="Arial" w:cs="Arial"/>
          <w:lang w:val="es-ES"/>
        </w:rPr>
        <w:t xml:space="preserve">siendo de suma relevancia </w:t>
      </w:r>
      <w:r w:rsidR="00813706" w:rsidRPr="00707D6E">
        <w:rPr>
          <w:rFonts w:ascii="Arial" w:hAnsi="Arial" w:cs="Arial"/>
          <w:lang w:val="es-ES"/>
        </w:rPr>
        <w:t>su</w:t>
      </w:r>
      <w:r w:rsidR="00B9261C" w:rsidRPr="00707D6E">
        <w:rPr>
          <w:rFonts w:ascii="Arial" w:hAnsi="Arial" w:cs="Arial"/>
          <w:lang w:val="es-ES"/>
        </w:rPr>
        <w:t xml:space="preserve"> </w:t>
      </w:r>
      <w:r w:rsidR="007E4670" w:rsidRPr="00707D6E">
        <w:rPr>
          <w:rFonts w:ascii="Arial" w:hAnsi="Arial" w:cs="Arial"/>
          <w:lang w:val="es-ES"/>
        </w:rPr>
        <w:t>detección</w:t>
      </w:r>
      <w:r w:rsidR="00D96004">
        <w:rPr>
          <w:rFonts w:ascii="Arial" w:hAnsi="Arial" w:cs="Arial"/>
          <w:lang w:val="es-ES"/>
        </w:rPr>
        <w:t xml:space="preserve"> </w:t>
      </w:r>
      <w:proofErr w:type="gramStart"/>
      <w:r w:rsidR="00FB7841">
        <w:rPr>
          <w:rFonts w:ascii="Arial" w:hAnsi="Arial" w:cs="Arial"/>
          <w:lang w:val="es-ES"/>
        </w:rPr>
        <w:t>precoz</w:t>
      </w:r>
      <w:r w:rsidR="00B56AEB" w:rsidRPr="00707D6E">
        <w:rPr>
          <w:rFonts w:ascii="Arial" w:hAnsi="Arial" w:cs="Arial"/>
          <w:vertAlign w:val="superscript"/>
          <w:lang w:val="es-ES"/>
        </w:rPr>
        <w:t>(</w:t>
      </w:r>
      <w:proofErr w:type="gramEnd"/>
      <w:r w:rsidR="00B56AEB" w:rsidRPr="00707D6E">
        <w:rPr>
          <w:rFonts w:ascii="Arial" w:hAnsi="Arial" w:cs="Arial"/>
          <w:vertAlign w:val="superscript"/>
          <w:lang w:val="es-ES"/>
        </w:rPr>
        <w:t>3)</w:t>
      </w:r>
      <w:r w:rsidR="00813706" w:rsidRPr="00707D6E">
        <w:rPr>
          <w:rFonts w:ascii="Arial" w:hAnsi="Arial" w:cs="Arial"/>
          <w:lang w:val="es-ES"/>
        </w:rPr>
        <w:t xml:space="preserve">. </w:t>
      </w:r>
      <w:r w:rsidR="00FD0AF4" w:rsidRPr="00707D6E">
        <w:rPr>
          <w:rFonts w:ascii="Arial" w:hAnsi="Arial" w:cs="Arial"/>
          <w:lang w:val="es-ES"/>
        </w:rPr>
        <w:t>La</w:t>
      </w:r>
      <w:r w:rsidR="009F4FFF" w:rsidRPr="00707D6E">
        <w:rPr>
          <w:rFonts w:ascii="Arial" w:hAnsi="Arial" w:cs="Arial"/>
          <w:lang w:val="es-ES"/>
        </w:rPr>
        <w:t xml:space="preserve"> diseminación hematógena es la más </w:t>
      </w:r>
      <w:r w:rsidR="00E72E0E" w:rsidRPr="00707D6E">
        <w:rPr>
          <w:rFonts w:ascii="Arial" w:hAnsi="Arial" w:cs="Arial"/>
          <w:lang w:val="es-ES"/>
        </w:rPr>
        <w:t>habitual</w:t>
      </w:r>
      <w:r w:rsidR="009F4FFF" w:rsidRPr="00707D6E">
        <w:rPr>
          <w:rFonts w:ascii="Arial" w:hAnsi="Arial" w:cs="Arial"/>
          <w:lang w:val="es-ES"/>
        </w:rPr>
        <w:t xml:space="preserve">, </w:t>
      </w:r>
      <w:r w:rsidR="00681891" w:rsidRPr="00707D6E">
        <w:rPr>
          <w:rFonts w:ascii="Arial" w:hAnsi="Arial" w:cs="Arial"/>
          <w:lang w:val="es-ES"/>
        </w:rPr>
        <w:t>siendo</w:t>
      </w:r>
      <w:r w:rsidR="00E775F1" w:rsidRPr="00707D6E">
        <w:rPr>
          <w:rFonts w:ascii="Arial" w:hAnsi="Arial" w:cs="Arial"/>
          <w:lang w:val="es-ES"/>
        </w:rPr>
        <w:t>,</w:t>
      </w:r>
      <w:r w:rsidR="00681891" w:rsidRPr="00707D6E">
        <w:rPr>
          <w:rFonts w:ascii="Arial" w:hAnsi="Arial" w:cs="Arial"/>
          <w:lang w:val="es-ES"/>
        </w:rPr>
        <w:t xml:space="preserve"> </w:t>
      </w:r>
      <w:r w:rsidR="009F4FFF" w:rsidRPr="00707D6E">
        <w:rPr>
          <w:rFonts w:ascii="Arial" w:hAnsi="Arial" w:cs="Arial"/>
          <w:lang w:val="es-ES"/>
        </w:rPr>
        <w:t>en orden de frecuencia</w:t>
      </w:r>
      <w:r w:rsidR="0005558E" w:rsidRPr="00707D6E">
        <w:rPr>
          <w:rFonts w:ascii="Arial" w:hAnsi="Arial" w:cs="Arial"/>
          <w:lang w:val="es-ES"/>
        </w:rPr>
        <w:t>,</w:t>
      </w:r>
      <w:r w:rsidR="009F4FFF" w:rsidRPr="00707D6E">
        <w:rPr>
          <w:rFonts w:ascii="Arial" w:hAnsi="Arial" w:cs="Arial"/>
          <w:lang w:val="es-ES"/>
        </w:rPr>
        <w:t xml:space="preserve"> </w:t>
      </w:r>
      <w:r w:rsidR="00681891" w:rsidRPr="00707D6E">
        <w:rPr>
          <w:rFonts w:ascii="Arial" w:hAnsi="Arial" w:cs="Arial"/>
          <w:lang w:val="es-ES"/>
        </w:rPr>
        <w:t xml:space="preserve">las </w:t>
      </w:r>
      <w:r w:rsidR="009F4FFF" w:rsidRPr="00707D6E">
        <w:rPr>
          <w:rFonts w:ascii="Arial" w:hAnsi="Arial" w:cs="Arial"/>
          <w:lang w:val="es-ES"/>
        </w:rPr>
        <w:t>metástasis pulmonares, óseas y en médula ósea</w:t>
      </w:r>
      <w:r w:rsidR="00681891" w:rsidRPr="00707D6E">
        <w:rPr>
          <w:rFonts w:ascii="Arial" w:hAnsi="Arial" w:cs="Arial"/>
          <w:lang w:val="es-ES"/>
        </w:rPr>
        <w:t xml:space="preserve"> </w:t>
      </w:r>
      <w:r w:rsidR="00067CAC" w:rsidRPr="00707D6E">
        <w:rPr>
          <w:rFonts w:ascii="Arial" w:hAnsi="Arial" w:cs="Arial"/>
          <w:lang w:val="es-ES"/>
        </w:rPr>
        <w:t xml:space="preserve">las más </w:t>
      </w:r>
      <w:r w:rsidR="00FB7841">
        <w:rPr>
          <w:rFonts w:ascii="Arial" w:hAnsi="Arial" w:cs="Arial"/>
          <w:lang w:val="es-ES"/>
        </w:rPr>
        <w:t>comunes</w:t>
      </w:r>
      <w:r w:rsidR="009F4FFF" w:rsidRPr="00707D6E">
        <w:rPr>
          <w:rFonts w:ascii="Arial" w:hAnsi="Arial" w:cs="Arial"/>
          <w:lang w:val="es-ES"/>
        </w:rPr>
        <w:t xml:space="preserve">, </w:t>
      </w:r>
      <w:r w:rsidR="00FB7841">
        <w:rPr>
          <w:rFonts w:ascii="Arial" w:hAnsi="Arial" w:cs="Arial"/>
          <w:lang w:val="es-ES"/>
        </w:rPr>
        <w:t xml:space="preserve">las cuales son </w:t>
      </w:r>
      <w:r w:rsidR="00A22675" w:rsidRPr="00707D6E">
        <w:rPr>
          <w:rFonts w:ascii="Arial" w:hAnsi="Arial" w:cs="Arial"/>
          <w:lang w:val="es-ES"/>
        </w:rPr>
        <w:t xml:space="preserve">detectadas </w:t>
      </w:r>
      <w:r w:rsidR="008F7678" w:rsidRPr="00707D6E">
        <w:rPr>
          <w:rFonts w:ascii="Arial" w:hAnsi="Arial" w:cs="Arial"/>
          <w:lang w:val="es-ES"/>
        </w:rPr>
        <w:t xml:space="preserve">mediante </w:t>
      </w:r>
      <w:r w:rsidR="005A6A26" w:rsidRPr="00707D6E">
        <w:rPr>
          <w:rFonts w:ascii="Arial" w:hAnsi="Arial" w:cs="Arial"/>
          <w:lang w:val="es-ES"/>
        </w:rPr>
        <w:t xml:space="preserve">tomografía computada de tórax, cintigrafía ósea y biopsia de médula ósea </w:t>
      </w:r>
      <w:proofErr w:type="gramStart"/>
      <w:r w:rsidR="005A6A26" w:rsidRPr="00707D6E">
        <w:rPr>
          <w:rFonts w:ascii="Arial" w:hAnsi="Arial" w:cs="Arial"/>
          <w:lang w:val="es-ES"/>
        </w:rPr>
        <w:t>respectivamente</w:t>
      </w:r>
      <w:r w:rsidR="008B18CC" w:rsidRPr="00707D6E">
        <w:rPr>
          <w:rFonts w:ascii="Arial" w:hAnsi="Arial" w:cs="Arial"/>
          <w:vertAlign w:val="superscript"/>
          <w:lang w:val="es-ES"/>
        </w:rPr>
        <w:t>(</w:t>
      </w:r>
      <w:proofErr w:type="gramEnd"/>
      <w:r w:rsidR="008B18CC" w:rsidRPr="00707D6E">
        <w:rPr>
          <w:rFonts w:ascii="Arial" w:hAnsi="Arial" w:cs="Arial"/>
          <w:vertAlign w:val="superscript"/>
          <w:lang w:val="es-ES"/>
        </w:rPr>
        <w:t>4)</w:t>
      </w:r>
      <w:r w:rsidR="005A6A26" w:rsidRPr="00707D6E">
        <w:rPr>
          <w:rFonts w:ascii="Arial" w:hAnsi="Arial" w:cs="Arial"/>
          <w:lang w:val="es-ES"/>
        </w:rPr>
        <w:t xml:space="preserve">. Sin </w:t>
      </w:r>
      <w:r w:rsidR="00C76576" w:rsidRPr="00707D6E">
        <w:rPr>
          <w:rFonts w:ascii="Arial" w:hAnsi="Arial" w:cs="Arial"/>
          <w:lang w:val="es-ES"/>
        </w:rPr>
        <w:t>embargo,</w:t>
      </w:r>
      <w:r w:rsidR="005A6A26" w:rsidRPr="00707D6E">
        <w:rPr>
          <w:rFonts w:ascii="Arial" w:hAnsi="Arial" w:cs="Arial"/>
          <w:lang w:val="es-ES"/>
        </w:rPr>
        <w:t xml:space="preserve"> </w:t>
      </w:r>
      <w:r w:rsidR="00FE30DB" w:rsidRPr="00707D6E">
        <w:rPr>
          <w:rFonts w:ascii="Arial" w:hAnsi="Arial" w:cs="Arial"/>
          <w:lang w:val="es-ES"/>
        </w:rPr>
        <w:t>en la actualidad</w:t>
      </w:r>
      <w:r w:rsidR="001939D2" w:rsidRPr="00707D6E">
        <w:rPr>
          <w:rFonts w:ascii="Arial" w:hAnsi="Arial" w:cs="Arial"/>
          <w:lang w:val="es-ES"/>
        </w:rPr>
        <w:t>,</w:t>
      </w:r>
      <w:r w:rsidR="00FE30DB" w:rsidRPr="00707D6E">
        <w:rPr>
          <w:rFonts w:ascii="Arial" w:hAnsi="Arial" w:cs="Arial"/>
          <w:lang w:val="es-ES"/>
        </w:rPr>
        <w:t xml:space="preserve"> múltiples estudios han demostrado la mayor sensibilidad de técnicas híbridas </w:t>
      </w:r>
      <w:r w:rsidR="00AF5949" w:rsidRPr="00707D6E">
        <w:rPr>
          <w:rFonts w:ascii="Arial" w:hAnsi="Arial" w:cs="Arial"/>
          <w:lang w:val="es-ES"/>
        </w:rPr>
        <w:t>como el PET</w:t>
      </w:r>
      <w:r w:rsidR="002A4ECE" w:rsidRPr="00707D6E">
        <w:rPr>
          <w:rFonts w:ascii="Arial" w:hAnsi="Arial" w:cs="Arial"/>
          <w:lang w:val="es-ES"/>
        </w:rPr>
        <w:t>/</w:t>
      </w:r>
      <w:r w:rsidR="00AF5949" w:rsidRPr="00707D6E">
        <w:rPr>
          <w:rFonts w:ascii="Arial" w:hAnsi="Arial" w:cs="Arial"/>
          <w:lang w:val="es-ES"/>
        </w:rPr>
        <w:t xml:space="preserve">CT </w:t>
      </w:r>
      <w:r w:rsidR="00C50310" w:rsidRPr="00707D6E">
        <w:rPr>
          <w:rFonts w:ascii="Arial" w:hAnsi="Arial" w:cs="Arial"/>
          <w:lang w:val="es-ES"/>
        </w:rPr>
        <w:t xml:space="preserve">en la detección de metástasis </w:t>
      </w:r>
      <w:r w:rsidR="00465E5E" w:rsidRPr="00707D6E">
        <w:rPr>
          <w:rFonts w:ascii="Arial" w:hAnsi="Arial" w:cs="Arial"/>
          <w:lang w:val="es-ES"/>
        </w:rPr>
        <w:t xml:space="preserve">en </w:t>
      </w:r>
      <w:r w:rsidR="00C50310" w:rsidRPr="00707D6E">
        <w:rPr>
          <w:rFonts w:ascii="Arial" w:hAnsi="Arial" w:cs="Arial"/>
          <w:lang w:val="es-ES"/>
        </w:rPr>
        <w:t>hueso y médula ósea</w:t>
      </w:r>
      <w:r w:rsidR="00465E5E" w:rsidRPr="00707D6E">
        <w:rPr>
          <w:rFonts w:ascii="Arial" w:hAnsi="Arial" w:cs="Arial"/>
          <w:lang w:val="es-ES"/>
        </w:rPr>
        <w:t xml:space="preserve">, </w:t>
      </w:r>
      <w:r w:rsidR="00FB7841">
        <w:rPr>
          <w:rFonts w:ascii="Arial" w:hAnsi="Arial" w:cs="Arial"/>
          <w:lang w:val="es-ES"/>
        </w:rPr>
        <w:t>así como</w:t>
      </w:r>
      <w:r w:rsidR="00465E5E" w:rsidRPr="00707D6E">
        <w:rPr>
          <w:rFonts w:ascii="Arial" w:hAnsi="Arial" w:cs="Arial"/>
          <w:lang w:val="es-ES"/>
        </w:rPr>
        <w:t xml:space="preserve"> también en tejidos blandos</w:t>
      </w:r>
      <w:r w:rsidR="005E19F6" w:rsidRPr="00707D6E">
        <w:rPr>
          <w:rFonts w:ascii="Arial" w:hAnsi="Arial" w:cs="Arial"/>
          <w:lang w:val="es-ES"/>
        </w:rPr>
        <w:t xml:space="preserve">, </w:t>
      </w:r>
      <w:r w:rsidR="00EE4D9F">
        <w:rPr>
          <w:rFonts w:ascii="Arial" w:hAnsi="Arial" w:cs="Arial"/>
          <w:lang w:val="es-ES"/>
        </w:rPr>
        <w:t>ya que</w:t>
      </w:r>
      <w:r w:rsidR="00F70269" w:rsidRPr="00707D6E">
        <w:rPr>
          <w:rFonts w:ascii="Arial" w:hAnsi="Arial" w:cs="Arial"/>
          <w:lang w:val="es-ES"/>
        </w:rPr>
        <w:t xml:space="preserve"> </w:t>
      </w:r>
      <w:r w:rsidR="004E5ACE" w:rsidRPr="00707D6E">
        <w:rPr>
          <w:rFonts w:ascii="Arial" w:hAnsi="Arial" w:cs="Arial"/>
          <w:lang w:val="es-ES"/>
        </w:rPr>
        <w:t>corresponde</w:t>
      </w:r>
      <w:r w:rsidR="00EE4D9F">
        <w:rPr>
          <w:rFonts w:ascii="Arial" w:hAnsi="Arial" w:cs="Arial"/>
          <w:lang w:val="es-ES"/>
        </w:rPr>
        <w:t xml:space="preserve"> </w:t>
      </w:r>
      <w:r w:rsidR="004E5ACE" w:rsidRPr="00707D6E">
        <w:rPr>
          <w:rFonts w:ascii="Arial" w:hAnsi="Arial" w:cs="Arial"/>
          <w:lang w:val="es-ES"/>
        </w:rPr>
        <w:t>a</w:t>
      </w:r>
      <w:r w:rsidR="005E19F6" w:rsidRPr="00707D6E">
        <w:rPr>
          <w:rFonts w:ascii="Arial" w:hAnsi="Arial" w:cs="Arial"/>
          <w:lang w:val="es-ES"/>
        </w:rPr>
        <w:t xml:space="preserve"> un tipo de tumor con alto consumo </w:t>
      </w:r>
      <w:proofErr w:type="spellStart"/>
      <w:r w:rsidR="00672318">
        <w:rPr>
          <w:rFonts w:ascii="Arial" w:hAnsi="Arial" w:cs="Arial"/>
          <w:lang w:val="es-ES"/>
        </w:rPr>
        <w:t>glucídico</w:t>
      </w:r>
      <w:proofErr w:type="spellEnd"/>
      <w:r w:rsidR="00672318">
        <w:rPr>
          <w:rFonts w:ascii="Arial" w:hAnsi="Arial" w:cs="Arial"/>
          <w:lang w:val="es-ES"/>
        </w:rPr>
        <w:t xml:space="preserve"> </w:t>
      </w:r>
      <w:r w:rsidR="00740A37" w:rsidRPr="00707D6E">
        <w:rPr>
          <w:rFonts w:ascii="Arial" w:hAnsi="Arial" w:cs="Arial"/>
          <w:lang w:val="es-ES"/>
        </w:rPr>
        <w:t>y</w:t>
      </w:r>
      <w:r w:rsidR="00AF624A" w:rsidRPr="00707D6E">
        <w:rPr>
          <w:rFonts w:ascii="Arial" w:hAnsi="Arial" w:cs="Arial"/>
          <w:lang w:val="es-ES"/>
        </w:rPr>
        <w:t>,</w:t>
      </w:r>
      <w:r w:rsidR="00740A37" w:rsidRPr="00707D6E">
        <w:rPr>
          <w:rFonts w:ascii="Arial" w:hAnsi="Arial" w:cs="Arial"/>
          <w:lang w:val="es-ES"/>
        </w:rPr>
        <w:t xml:space="preserve"> por lo tanto</w:t>
      </w:r>
      <w:r w:rsidR="00AF624A" w:rsidRPr="00707D6E">
        <w:rPr>
          <w:rFonts w:ascii="Arial" w:hAnsi="Arial" w:cs="Arial"/>
          <w:lang w:val="es-ES"/>
        </w:rPr>
        <w:t>,</w:t>
      </w:r>
      <w:r w:rsidR="00740A37" w:rsidRPr="00707D6E">
        <w:rPr>
          <w:rFonts w:ascii="Arial" w:hAnsi="Arial" w:cs="Arial"/>
          <w:lang w:val="es-ES"/>
        </w:rPr>
        <w:t xml:space="preserve"> muy </w:t>
      </w:r>
      <w:proofErr w:type="spellStart"/>
      <w:proofErr w:type="gramStart"/>
      <w:r w:rsidR="00740A37" w:rsidRPr="00707D6E">
        <w:rPr>
          <w:rFonts w:ascii="Arial" w:hAnsi="Arial" w:cs="Arial"/>
          <w:lang w:val="es-ES"/>
        </w:rPr>
        <w:t>hipermetabólico</w:t>
      </w:r>
      <w:proofErr w:type="spellEnd"/>
      <w:r w:rsidR="009E2CBE" w:rsidRPr="00707D6E">
        <w:rPr>
          <w:rFonts w:ascii="Arial" w:hAnsi="Arial" w:cs="Arial"/>
          <w:vertAlign w:val="superscript"/>
          <w:lang w:val="es-ES"/>
        </w:rPr>
        <w:t>(</w:t>
      </w:r>
      <w:proofErr w:type="gramEnd"/>
      <w:r w:rsidR="009E2CBE" w:rsidRPr="00707D6E">
        <w:rPr>
          <w:rFonts w:ascii="Arial" w:hAnsi="Arial" w:cs="Arial"/>
          <w:vertAlign w:val="superscript"/>
          <w:lang w:val="es-ES"/>
        </w:rPr>
        <w:t>5)</w:t>
      </w:r>
      <w:r w:rsidR="00740A37" w:rsidRPr="00707D6E">
        <w:rPr>
          <w:rFonts w:ascii="Arial" w:hAnsi="Arial" w:cs="Arial"/>
          <w:lang w:val="es-ES"/>
        </w:rPr>
        <w:t>.</w:t>
      </w:r>
    </w:p>
    <w:p w14:paraId="7F9E6083" w14:textId="26EDCAA9" w:rsidR="000F47EE" w:rsidRPr="00707D6E" w:rsidRDefault="00BD00C7" w:rsidP="008A70CB">
      <w:pPr>
        <w:spacing w:line="360" w:lineRule="auto"/>
        <w:rPr>
          <w:rFonts w:ascii="Arial" w:hAnsi="Arial" w:cs="Arial"/>
          <w:lang w:val="es-ES"/>
        </w:rPr>
      </w:pPr>
      <w:r w:rsidRPr="00707D6E">
        <w:rPr>
          <w:rFonts w:ascii="Arial" w:hAnsi="Arial" w:cs="Arial"/>
          <w:lang w:val="es-ES"/>
        </w:rPr>
        <w:t>En l</w:t>
      </w:r>
      <w:r w:rsidR="00062DDC" w:rsidRPr="00707D6E">
        <w:rPr>
          <w:rFonts w:ascii="Arial" w:hAnsi="Arial" w:cs="Arial"/>
          <w:lang w:val="es-ES"/>
        </w:rPr>
        <w:t xml:space="preserve">a detección </w:t>
      </w:r>
      <w:r w:rsidR="00605725" w:rsidRPr="00707D6E">
        <w:rPr>
          <w:rFonts w:ascii="Arial" w:hAnsi="Arial" w:cs="Arial"/>
          <w:lang w:val="es-ES"/>
        </w:rPr>
        <w:t xml:space="preserve">de metástasis pulmonares </w:t>
      </w:r>
      <w:r w:rsidR="0011289A" w:rsidRPr="00707D6E">
        <w:rPr>
          <w:rFonts w:ascii="Arial" w:hAnsi="Arial" w:cs="Arial"/>
          <w:lang w:val="es-ES"/>
        </w:rPr>
        <w:t xml:space="preserve">se ha descrito </w:t>
      </w:r>
      <w:r w:rsidRPr="00707D6E">
        <w:rPr>
          <w:rFonts w:ascii="Arial" w:hAnsi="Arial" w:cs="Arial"/>
          <w:lang w:val="es-ES"/>
        </w:rPr>
        <w:t>menor sensibilidad del PET</w:t>
      </w:r>
      <w:r w:rsidR="00666114" w:rsidRPr="00707D6E">
        <w:rPr>
          <w:rFonts w:ascii="Arial" w:hAnsi="Arial" w:cs="Arial"/>
          <w:lang w:val="es-ES"/>
        </w:rPr>
        <w:t>/</w:t>
      </w:r>
      <w:r w:rsidRPr="00707D6E">
        <w:rPr>
          <w:rFonts w:ascii="Arial" w:hAnsi="Arial" w:cs="Arial"/>
          <w:lang w:val="es-ES"/>
        </w:rPr>
        <w:t xml:space="preserve">CT en comparación con la tomografía </w:t>
      </w:r>
      <w:proofErr w:type="gramStart"/>
      <w:r w:rsidRPr="00707D6E">
        <w:rPr>
          <w:rFonts w:ascii="Arial" w:hAnsi="Arial" w:cs="Arial"/>
          <w:lang w:val="es-ES"/>
        </w:rPr>
        <w:t>computada</w:t>
      </w:r>
      <w:r w:rsidR="00827943" w:rsidRPr="00707D6E">
        <w:rPr>
          <w:rFonts w:ascii="Arial" w:hAnsi="Arial" w:cs="Arial"/>
          <w:vertAlign w:val="superscript"/>
          <w:lang w:val="es-ES"/>
        </w:rPr>
        <w:t>(</w:t>
      </w:r>
      <w:proofErr w:type="gramEnd"/>
      <w:r w:rsidR="00827943" w:rsidRPr="00707D6E">
        <w:rPr>
          <w:rFonts w:ascii="Arial" w:hAnsi="Arial" w:cs="Arial"/>
          <w:vertAlign w:val="superscript"/>
          <w:lang w:val="es-ES"/>
        </w:rPr>
        <w:t>6)</w:t>
      </w:r>
      <w:r w:rsidR="007E0C91" w:rsidRPr="00707D6E">
        <w:rPr>
          <w:rFonts w:ascii="Arial" w:hAnsi="Arial" w:cs="Arial"/>
          <w:lang w:val="es-ES"/>
        </w:rPr>
        <w:t>,</w:t>
      </w:r>
      <w:r w:rsidRPr="00707D6E">
        <w:rPr>
          <w:rFonts w:ascii="Arial" w:hAnsi="Arial" w:cs="Arial"/>
          <w:lang w:val="es-ES"/>
        </w:rPr>
        <w:t xml:space="preserve"> si</w:t>
      </w:r>
      <w:r w:rsidR="004977E5" w:rsidRPr="00707D6E">
        <w:rPr>
          <w:rFonts w:ascii="Arial" w:hAnsi="Arial" w:cs="Arial"/>
          <w:lang w:val="es-ES"/>
        </w:rPr>
        <w:t>n</w:t>
      </w:r>
      <w:r w:rsidRPr="00707D6E">
        <w:rPr>
          <w:rFonts w:ascii="Arial" w:hAnsi="Arial" w:cs="Arial"/>
          <w:lang w:val="es-ES"/>
        </w:rPr>
        <w:t xml:space="preserve"> embargo</w:t>
      </w:r>
      <w:r w:rsidR="007E0C91" w:rsidRPr="00707D6E">
        <w:rPr>
          <w:rFonts w:ascii="Arial" w:hAnsi="Arial" w:cs="Arial"/>
          <w:lang w:val="es-ES"/>
        </w:rPr>
        <w:t>,</w:t>
      </w:r>
      <w:r w:rsidRPr="00707D6E">
        <w:rPr>
          <w:rFonts w:ascii="Arial" w:hAnsi="Arial" w:cs="Arial"/>
          <w:lang w:val="es-ES"/>
        </w:rPr>
        <w:t xml:space="preserve"> </w:t>
      </w:r>
      <w:r w:rsidR="004977E5" w:rsidRPr="00707D6E">
        <w:rPr>
          <w:rFonts w:ascii="Arial" w:hAnsi="Arial" w:cs="Arial"/>
          <w:lang w:val="es-ES"/>
        </w:rPr>
        <w:t>ambos estudios son</w:t>
      </w:r>
      <w:r w:rsidR="00605725" w:rsidRPr="00707D6E">
        <w:rPr>
          <w:rFonts w:ascii="Arial" w:hAnsi="Arial" w:cs="Arial"/>
          <w:lang w:val="es-ES"/>
        </w:rPr>
        <w:t xml:space="preserve"> </w:t>
      </w:r>
      <w:r w:rsidR="001D0EE7" w:rsidRPr="00707D6E">
        <w:rPr>
          <w:rFonts w:ascii="Arial" w:hAnsi="Arial" w:cs="Arial"/>
          <w:lang w:val="es-ES"/>
        </w:rPr>
        <w:t>equivalente</w:t>
      </w:r>
      <w:r w:rsidR="004977E5" w:rsidRPr="00707D6E">
        <w:rPr>
          <w:rFonts w:ascii="Arial" w:hAnsi="Arial" w:cs="Arial"/>
          <w:lang w:val="es-ES"/>
        </w:rPr>
        <w:t>s</w:t>
      </w:r>
      <w:r w:rsidR="001D0EE7" w:rsidRPr="00707D6E">
        <w:rPr>
          <w:rFonts w:ascii="Arial" w:hAnsi="Arial" w:cs="Arial"/>
          <w:lang w:val="es-ES"/>
        </w:rPr>
        <w:t xml:space="preserve"> </w:t>
      </w:r>
      <w:r w:rsidR="00605725" w:rsidRPr="00707D6E">
        <w:rPr>
          <w:rFonts w:ascii="Arial" w:hAnsi="Arial" w:cs="Arial"/>
          <w:lang w:val="es-ES"/>
        </w:rPr>
        <w:t>s</w:t>
      </w:r>
      <w:r w:rsidR="00395F75" w:rsidRPr="00707D6E">
        <w:rPr>
          <w:rFonts w:ascii="Arial" w:hAnsi="Arial" w:cs="Arial"/>
          <w:lang w:val="es-ES"/>
        </w:rPr>
        <w:t xml:space="preserve">i se </w:t>
      </w:r>
      <w:r w:rsidR="00CB0FC1" w:rsidRPr="00707D6E">
        <w:rPr>
          <w:rFonts w:ascii="Arial" w:hAnsi="Arial" w:cs="Arial"/>
          <w:lang w:val="es-ES"/>
        </w:rPr>
        <w:t xml:space="preserve">incorpora </w:t>
      </w:r>
      <w:r w:rsidR="00A82B90" w:rsidRPr="00707D6E">
        <w:rPr>
          <w:rFonts w:ascii="Arial" w:hAnsi="Arial" w:cs="Arial"/>
          <w:lang w:val="es-ES"/>
        </w:rPr>
        <w:t>una tomografía en inspiración durante la adquisición del PET</w:t>
      </w:r>
      <w:r w:rsidR="0091274B" w:rsidRPr="00707D6E">
        <w:rPr>
          <w:rFonts w:ascii="Arial" w:hAnsi="Arial" w:cs="Arial"/>
          <w:lang w:val="es-ES"/>
        </w:rPr>
        <w:t>/</w:t>
      </w:r>
      <w:r w:rsidR="00A82B90" w:rsidRPr="00707D6E">
        <w:rPr>
          <w:rFonts w:ascii="Arial" w:hAnsi="Arial" w:cs="Arial"/>
          <w:lang w:val="es-ES"/>
        </w:rPr>
        <w:t>CT.</w:t>
      </w:r>
    </w:p>
    <w:p w14:paraId="524C1DF2" w14:textId="2ED691DB" w:rsidR="00A61A4F" w:rsidRPr="00707D6E" w:rsidRDefault="00740A37" w:rsidP="008A70CB">
      <w:pPr>
        <w:spacing w:line="360" w:lineRule="auto"/>
        <w:rPr>
          <w:rFonts w:ascii="Arial" w:hAnsi="Arial" w:cs="Arial"/>
          <w:lang w:val="es-ES"/>
        </w:rPr>
      </w:pPr>
      <w:r w:rsidRPr="00707D6E">
        <w:rPr>
          <w:rFonts w:ascii="Arial" w:hAnsi="Arial" w:cs="Arial"/>
          <w:lang w:val="es-ES"/>
        </w:rPr>
        <w:t>En nuestro caso</w:t>
      </w:r>
      <w:r w:rsidR="001E2A33">
        <w:rPr>
          <w:rFonts w:ascii="Arial" w:hAnsi="Arial" w:cs="Arial"/>
          <w:lang w:val="es-ES"/>
        </w:rPr>
        <w:t>,</w:t>
      </w:r>
      <w:r w:rsidRPr="00707D6E">
        <w:rPr>
          <w:rFonts w:ascii="Arial" w:hAnsi="Arial" w:cs="Arial"/>
          <w:lang w:val="es-ES"/>
        </w:rPr>
        <w:t xml:space="preserve"> </w:t>
      </w:r>
      <w:r w:rsidR="00532F97">
        <w:rPr>
          <w:rFonts w:ascii="Arial" w:hAnsi="Arial" w:cs="Arial"/>
          <w:lang w:val="es-ES"/>
        </w:rPr>
        <w:t xml:space="preserve">en la primera evaluación de la paciente se solicitó una radiografía de esternón, técnica de bajo rendimiento tanto </w:t>
      </w:r>
      <w:r w:rsidR="00B27487">
        <w:rPr>
          <w:rFonts w:ascii="Arial" w:hAnsi="Arial" w:cs="Arial"/>
          <w:lang w:val="es-ES"/>
        </w:rPr>
        <w:t>en</w:t>
      </w:r>
      <w:r w:rsidR="00532F97">
        <w:rPr>
          <w:rFonts w:ascii="Arial" w:hAnsi="Arial" w:cs="Arial"/>
          <w:lang w:val="es-ES"/>
        </w:rPr>
        <w:t xml:space="preserve"> la evaluación de </w:t>
      </w:r>
      <w:r w:rsidR="001E2A33">
        <w:rPr>
          <w:rFonts w:ascii="Arial" w:hAnsi="Arial" w:cs="Arial"/>
          <w:lang w:val="es-ES"/>
        </w:rPr>
        <w:t xml:space="preserve">las </w:t>
      </w:r>
      <w:r w:rsidR="00532F97">
        <w:rPr>
          <w:rFonts w:ascii="Arial" w:hAnsi="Arial" w:cs="Arial"/>
          <w:lang w:val="es-ES"/>
        </w:rPr>
        <w:t xml:space="preserve">partes blandas como de </w:t>
      </w:r>
      <w:r w:rsidR="001E2A33">
        <w:rPr>
          <w:rFonts w:ascii="Arial" w:hAnsi="Arial" w:cs="Arial"/>
          <w:lang w:val="es-ES"/>
        </w:rPr>
        <w:t>la estructura</w:t>
      </w:r>
      <w:r w:rsidR="00532F97">
        <w:rPr>
          <w:rFonts w:ascii="Arial" w:hAnsi="Arial" w:cs="Arial"/>
          <w:lang w:val="es-ES"/>
        </w:rPr>
        <w:t xml:space="preserve"> ósea. Para la evaluación de lesiones de partes blandas, especialmente en los pacientes pediátricos, el examen de elección es la </w:t>
      </w:r>
      <w:proofErr w:type="spellStart"/>
      <w:r w:rsidR="00532F97">
        <w:rPr>
          <w:rFonts w:ascii="Arial" w:hAnsi="Arial" w:cs="Arial"/>
          <w:lang w:val="es-ES"/>
        </w:rPr>
        <w:t>ecotomografía</w:t>
      </w:r>
      <w:proofErr w:type="spellEnd"/>
      <w:r w:rsidR="00532F97">
        <w:rPr>
          <w:rFonts w:ascii="Arial" w:hAnsi="Arial" w:cs="Arial"/>
          <w:lang w:val="es-ES"/>
        </w:rPr>
        <w:t>.  Posteriormente, como método de etapificación</w:t>
      </w:r>
      <w:r w:rsidR="00241257" w:rsidRPr="00707D6E">
        <w:rPr>
          <w:rFonts w:ascii="Arial" w:hAnsi="Arial" w:cs="Arial"/>
          <w:lang w:val="es-ES"/>
        </w:rPr>
        <w:t xml:space="preserve"> </w:t>
      </w:r>
      <w:r w:rsidR="00627B9E" w:rsidRPr="00707D6E">
        <w:rPr>
          <w:rFonts w:ascii="Arial" w:hAnsi="Arial" w:cs="Arial"/>
          <w:lang w:val="es-ES"/>
        </w:rPr>
        <w:t xml:space="preserve">se realizó </w:t>
      </w:r>
      <w:r w:rsidR="00EF6AC1" w:rsidRPr="00707D6E">
        <w:rPr>
          <w:rFonts w:ascii="Arial" w:hAnsi="Arial" w:cs="Arial"/>
          <w:lang w:val="es-ES"/>
        </w:rPr>
        <w:t xml:space="preserve">una cintigrafía ósea, la cual solo logró detectar las alteraciones </w:t>
      </w:r>
      <w:r w:rsidR="001638CA" w:rsidRPr="00707D6E">
        <w:rPr>
          <w:rFonts w:ascii="Arial" w:hAnsi="Arial" w:cs="Arial"/>
          <w:lang w:val="es-ES"/>
        </w:rPr>
        <w:t xml:space="preserve">locales </w:t>
      </w:r>
      <w:r w:rsidR="001E2A33" w:rsidRPr="00707D6E">
        <w:rPr>
          <w:rFonts w:ascii="Arial" w:hAnsi="Arial" w:cs="Arial"/>
          <w:lang w:val="es-ES"/>
        </w:rPr>
        <w:t xml:space="preserve">en relación </w:t>
      </w:r>
      <w:r w:rsidR="001E2A33">
        <w:rPr>
          <w:rFonts w:ascii="Arial" w:hAnsi="Arial" w:cs="Arial"/>
          <w:lang w:val="es-ES"/>
        </w:rPr>
        <w:t>con el</w:t>
      </w:r>
      <w:r w:rsidR="007F61AA" w:rsidRPr="00707D6E">
        <w:rPr>
          <w:rFonts w:ascii="Arial" w:hAnsi="Arial" w:cs="Arial"/>
          <w:lang w:val="es-ES"/>
        </w:rPr>
        <w:t xml:space="preserve"> </w:t>
      </w:r>
      <w:r w:rsidR="001638CA" w:rsidRPr="00707D6E">
        <w:rPr>
          <w:rFonts w:ascii="Arial" w:hAnsi="Arial" w:cs="Arial"/>
          <w:lang w:val="es-ES"/>
        </w:rPr>
        <w:t>tumor primario</w:t>
      </w:r>
      <w:r w:rsidR="008779AE" w:rsidRPr="00707D6E">
        <w:rPr>
          <w:rFonts w:ascii="Arial" w:hAnsi="Arial" w:cs="Arial"/>
          <w:lang w:val="es-ES"/>
        </w:rPr>
        <w:t>,</w:t>
      </w:r>
      <w:r w:rsidR="001638CA" w:rsidRPr="00707D6E">
        <w:rPr>
          <w:rFonts w:ascii="Arial" w:hAnsi="Arial" w:cs="Arial"/>
          <w:lang w:val="es-ES"/>
        </w:rPr>
        <w:t xml:space="preserve"> pero no así la extensa diseminación en el resto del esqueleto</w:t>
      </w:r>
      <w:r w:rsidR="00CC4BE7" w:rsidRPr="00707D6E">
        <w:rPr>
          <w:rFonts w:ascii="Arial" w:hAnsi="Arial" w:cs="Arial"/>
          <w:lang w:val="es-ES"/>
        </w:rPr>
        <w:t>. Esto se explica</w:t>
      </w:r>
      <w:r w:rsidR="00EA5DFB" w:rsidRPr="00707D6E">
        <w:rPr>
          <w:rFonts w:ascii="Arial" w:hAnsi="Arial" w:cs="Arial"/>
          <w:lang w:val="es-ES"/>
        </w:rPr>
        <w:t xml:space="preserve"> </w:t>
      </w:r>
      <w:r w:rsidR="003C328B" w:rsidRPr="00707D6E">
        <w:rPr>
          <w:rFonts w:ascii="Arial" w:hAnsi="Arial" w:cs="Arial"/>
          <w:lang w:val="es-ES"/>
        </w:rPr>
        <w:t xml:space="preserve">porque la cintigrafía detecta actividad </w:t>
      </w:r>
      <w:r w:rsidR="00BA31E3" w:rsidRPr="00707D6E">
        <w:rPr>
          <w:rFonts w:ascii="Arial" w:hAnsi="Arial" w:cs="Arial"/>
          <w:lang w:val="es-ES"/>
        </w:rPr>
        <w:t>osteoblástica</w:t>
      </w:r>
      <w:r w:rsidR="003C328B" w:rsidRPr="00707D6E">
        <w:rPr>
          <w:rFonts w:ascii="Arial" w:hAnsi="Arial" w:cs="Arial"/>
          <w:lang w:val="es-ES"/>
        </w:rPr>
        <w:t xml:space="preserve">, </w:t>
      </w:r>
      <w:r w:rsidR="00FC66DE" w:rsidRPr="00707D6E">
        <w:rPr>
          <w:rFonts w:ascii="Arial" w:hAnsi="Arial" w:cs="Arial"/>
          <w:lang w:val="es-ES"/>
        </w:rPr>
        <w:t>no las células tu</w:t>
      </w:r>
      <w:r w:rsidR="007F61AA" w:rsidRPr="00707D6E">
        <w:rPr>
          <w:rFonts w:ascii="Arial" w:hAnsi="Arial" w:cs="Arial"/>
          <w:lang w:val="es-ES"/>
        </w:rPr>
        <w:t xml:space="preserve">morales propiamente tales, </w:t>
      </w:r>
      <w:r w:rsidR="00BA31E3" w:rsidRPr="00707D6E">
        <w:rPr>
          <w:rFonts w:ascii="Arial" w:hAnsi="Arial" w:cs="Arial"/>
          <w:lang w:val="es-ES"/>
        </w:rPr>
        <w:t>su sensibilidad disminuye en lesiones líticas sin actividad reparativa inicial</w:t>
      </w:r>
      <w:r w:rsidR="00FA00EA" w:rsidRPr="00707D6E">
        <w:rPr>
          <w:rFonts w:ascii="Arial" w:hAnsi="Arial" w:cs="Arial"/>
          <w:lang w:val="es-ES"/>
        </w:rPr>
        <w:t xml:space="preserve"> y no es capaz de detectar la infiltración medular</w:t>
      </w:r>
      <w:r w:rsidR="000A355A" w:rsidRPr="00707D6E">
        <w:rPr>
          <w:rFonts w:ascii="Arial" w:hAnsi="Arial" w:cs="Arial"/>
          <w:lang w:val="es-ES"/>
        </w:rPr>
        <w:t xml:space="preserve">; su mayor rendimiento es en la evaluación de lesiones </w:t>
      </w:r>
      <w:r w:rsidR="00FB4E3D" w:rsidRPr="00707D6E">
        <w:rPr>
          <w:rFonts w:ascii="Arial" w:hAnsi="Arial" w:cs="Arial"/>
          <w:lang w:val="es-ES"/>
        </w:rPr>
        <w:t>escleróticas</w:t>
      </w:r>
      <w:r w:rsidR="00A44DB4" w:rsidRPr="00707D6E">
        <w:rPr>
          <w:rFonts w:ascii="Arial" w:hAnsi="Arial" w:cs="Arial"/>
          <w:lang w:val="es-ES"/>
        </w:rPr>
        <w:t>.</w:t>
      </w:r>
    </w:p>
    <w:p w14:paraId="1812F6B7" w14:textId="454AF47E" w:rsidR="00227907" w:rsidRDefault="00FB29E1" w:rsidP="008A70CB">
      <w:pPr>
        <w:spacing w:line="360" w:lineRule="auto"/>
        <w:rPr>
          <w:rFonts w:ascii="Arial" w:hAnsi="Arial" w:cs="Arial"/>
          <w:lang w:val="es-ES"/>
        </w:rPr>
      </w:pPr>
      <w:r w:rsidRPr="00707D6E">
        <w:rPr>
          <w:rFonts w:ascii="Arial" w:hAnsi="Arial" w:cs="Arial"/>
          <w:lang w:val="es-ES"/>
        </w:rPr>
        <w:lastRenderedPageBreak/>
        <w:t xml:space="preserve">La biopsia de médula ósea tampoco logró </w:t>
      </w:r>
      <w:r w:rsidR="00F85970" w:rsidRPr="00707D6E">
        <w:rPr>
          <w:rFonts w:ascii="Arial" w:hAnsi="Arial" w:cs="Arial"/>
          <w:lang w:val="es-ES"/>
        </w:rPr>
        <w:t>identificar</w:t>
      </w:r>
      <w:r w:rsidRPr="00707D6E">
        <w:rPr>
          <w:rFonts w:ascii="Arial" w:hAnsi="Arial" w:cs="Arial"/>
          <w:lang w:val="es-ES"/>
        </w:rPr>
        <w:t xml:space="preserve"> infiltración medular</w:t>
      </w:r>
      <w:r w:rsidR="00330ED9" w:rsidRPr="00707D6E">
        <w:rPr>
          <w:rFonts w:ascii="Arial" w:hAnsi="Arial" w:cs="Arial"/>
          <w:lang w:val="es-ES"/>
        </w:rPr>
        <w:t>, la cual sí fue demostrada en el PET</w:t>
      </w:r>
      <w:r w:rsidR="00FA76B2" w:rsidRPr="00707D6E">
        <w:rPr>
          <w:rFonts w:ascii="Arial" w:hAnsi="Arial" w:cs="Arial"/>
          <w:lang w:val="es-ES"/>
        </w:rPr>
        <w:t>/</w:t>
      </w:r>
      <w:r w:rsidR="00330ED9" w:rsidRPr="00707D6E">
        <w:rPr>
          <w:rFonts w:ascii="Arial" w:hAnsi="Arial" w:cs="Arial"/>
          <w:lang w:val="es-ES"/>
        </w:rPr>
        <w:t>CT</w:t>
      </w:r>
      <w:r w:rsidR="0068547B" w:rsidRPr="00707D6E">
        <w:rPr>
          <w:rFonts w:ascii="Arial" w:hAnsi="Arial" w:cs="Arial"/>
          <w:lang w:val="es-ES"/>
        </w:rPr>
        <w:t xml:space="preserve">; </w:t>
      </w:r>
      <w:r w:rsidR="004A7574" w:rsidRPr="00707D6E">
        <w:rPr>
          <w:rFonts w:ascii="Arial" w:hAnsi="Arial" w:cs="Arial"/>
          <w:lang w:val="es-ES"/>
        </w:rPr>
        <w:t xml:space="preserve">si </w:t>
      </w:r>
      <w:r w:rsidR="00217BA0" w:rsidRPr="00707D6E">
        <w:rPr>
          <w:rFonts w:ascii="Arial" w:hAnsi="Arial" w:cs="Arial"/>
          <w:lang w:val="es-ES"/>
        </w:rPr>
        <w:t>la</w:t>
      </w:r>
      <w:r w:rsidR="004A7574" w:rsidRPr="00707D6E">
        <w:rPr>
          <w:rFonts w:ascii="Arial" w:hAnsi="Arial" w:cs="Arial"/>
          <w:lang w:val="es-ES"/>
        </w:rPr>
        <w:t xml:space="preserve"> infiltración </w:t>
      </w:r>
      <w:r w:rsidR="00217BA0" w:rsidRPr="00707D6E">
        <w:rPr>
          <w:rFonts w:ascii="Arial" w:hAnsi="Arial" w:cs="Arial"/>
          <w:lang w:val="es-ES"/>
        </w:rPr>
        <w:t xml:space="preserve">es </w:t>
      </w:r>
      <w:r w:rsidR="004A7574" w:rsidRPr="00707D6E">
        <w:rPr>
          <w:rFonts w:ascii="Arial" w:hAnsi="Arial" w:cs="Arial"/>
          <w:lang w:val="es-ES"/>
        </w:rPr>
        <w:t xml:space="preserve">parcheada, como en nuestro caso, </w:t>
      </w:r>
      <w:r w:rsidR="00523E39" w:rsidRPr="00707D6E">
        <w:rPr>
          <w:rFonts w:ascii="Arial" w:hAnsi="Arial" w:cs="Arial"/>
          <w:lang w:val="es-ES"/>
        </w:rPr>
        <w:t xml:space="preserve">sin afectación de </w:t>
      </w:r>
      <w:r w:rsidR="003778DF" w:rsidRPr="00707D6E">
        <w:rPr>
          <w:rFonts w:ascii="Arial" w:hAnsi="Arial" w:cs="Arial"/>
          <w:lang w:val="es-ES"/>
        </w:rPr>
        <w:t>las crestas iliacas</w:t>
      </w:r>
      <w:r w:rsidR="00590C54">
        <w:rPr>
          <w:rFonts w:ascii="Arial" w:hAnsi="Arial" w:cs="Arial"/>
          <w:lang w:val="es-ES"/>
        </w:rPr>
        <w:t xml:space="preserve"> donde se realiza </w:t>
      </w:r>
      <w:r w:rsidR="00C414A2" w:rsidRPr="00707D6E">
        <w:rPr>
          <w:rFonts w:ascii="Arial" w:hAnsi="Arial" w:cs="Arial"/>
          <w:lang w:val="es-ES"/>
        </w:rPr>
        <w:t xml:space="preserve">la toma de muestra, </w:t>
      </w:r>
      <w:r w:rsidR="00622365" w:rsidRPr="00707D6E">
        <w:rPr>
          <w:rFonts w:ascii="Arial" w:hAnsi="Arial" w:cs="Arial"/>
          <w:lang w:val="es-ES"/>
        </w:rPr>
        <w:t>el</w:t>
      </w:r>
      <w:r w:rsidR="00FF0B78" w:rsidRPr="00707D6E">
        <w:rPr>
          <w:rFonts w:ascii="Arial" w:hAnsi="Arial" w:cs="Arial"/>
          <w:lang w:val="es-ES"/>
        </w:rPr>
        <w:t xml:space="preserve"> rendimiento </w:t>
      </w:r>
      <w:r w:rsidR="00622365" w:rsidRPr="00707D6E">
        <w:rPr>
          <w:rFonts w:ascii="Arial" w:hAnsi="Arial" w:cs="Arial"/>
          <w:lang w:val="es-ES"/>
        </w:rPr>
        <w:t xml:space="preserve">de la biopsia </w:t>
      </w:r>
      <w:r w:rsidR="00FF0B78" w:rsidRPr="00707D6E">
        <w:rPr>
          <w:rFonts w:ascii="Arial" w:hAnsi="Arial" w:cs="Arial"/>
          <w:lang w:val="es-ES"/>
        </w:rPr>
        <w:t>será menor</w:t>
      </w:r>
      <w:r w:rsidR="007A7BD7" w:rsidRPr="00707D6E">
        <w:rPr>
          <w:rFonts w:ascii="Arial" w:hAnsi="Arial" w:cs="Arial"/>
          <w:lang w:val="es-ES"/>
        </w:rPr>
        <w:t xml:space="preserve">. </w:t>
      </w:r>
      <w:r w:rsidR="005604B0" w:rsidRPr="00707D6E">
        <w:rPr>
          <w:rFonts w:ascii="Arial" w:hAnsi="Arial" w:cs="Arial"/>
          <w:lang w:val="es-ES"/>
        </w:rPr>
        <w:t>El PET</w:t>
      </w:r>
      <w:r w:rsidR="009C4B6A" w:rsidRPr="00707D6E">
        <w:rPr>
          <w:rFonts w:ascii="Arial" w:hAnsi="Arial" w:cs="Arial"/>
          <w:lang w:val="es-ES"/>
        </w:rPr>
        <w:t>/</w:t>
      </w:r>
      <w:r w:rsidR="005604B0" w:rsidRPr="00707D6E">
        <w:rPr>
          <w:rFonts w:ascii="Arial" w:hAnsi="Arial" w:cs="Arial"/>
          <w:lang w:val="es-ES"/>
        </w:rPr>
        <w:t xml:space="preserve">CT </w:t>
      </w:r>
      <w:r w:rsidR="002F750D" w:rsidRPr="00707D6E">
        <w:rPr>
          <w:rFonts w:ascii="Arial" w:hAnsi="Arial" w:cs="Arial"/>
          <w:lang w:val="es-ES"/>
        </w:rPr>
        <w:t xml:space="preserve">es un buen </w:t>
      </w:r>
      <w:r w:rsidR="005604B0" w:rsidRPr="00707D6E">
        <w:rPr>
          <w:rFonts w:ascii="Arial" w:hAnsi="Arial" w:cs="Arial"/>
          <w:lang w:val="es-ES"/>
        </w:rPr>
        <w:t xml:space="preserve">método para </w:t>
      </w:r>
      <w:r w:rsidR="002F750D" w:rsidRPr="00707D6E">
        <w:rPr>
          <w:rFonts w:ascii="Arial" w:hAnsi="Arial" w:cs="Arial"/>
          <w:lang w:val="es-ES"/>
        </w:rPr>
        <w:t>guiar</w:t>
      </w:r>
      <w:r w:rsidR="005604B0" w:rsidRPr="00707D6E">
        <w:rPr>
          <w:rFonts w:ascii="Arial" w:hAnsi="Arial" w:cs="Arial"/>
          <w:lang w:val="es-ES"/>
        </w:rPr>
        <w:t xml:space="preserve"> la biopsia </w:t>
      </w:r>
      <w:r w:rsidR="001E2A33">
        <w:rPr>
          <w:rFonts w:ascii="Arial" w:hAnsi="Arial" w:cs="Arial"/>
          <w:lang w:val="es-ES"/>
        </w:rPr>
        <w:t xml:space="preserve">medular </w:t>
      </w:r>
      <w:r w:rsidR="005604B0" w:rsidRPr="00707D6E">
        <w:rPr>
          <w:rFonts w:ascii="Arial" w:hAnsi="Arial" w:cs="Arial"/>
          <w:lang w:val="es-ES"/>
        </w:rPr>
        <w:t xml:space="preserve">a un sitio </w:t>
      </w:r>
      <w:proofErr w:type="spellStart"/>
      <w:r w:rsidR="005604B0" w:rsidRPr="00707D6E">
        <w:rPr>
          <w:rFonts w:ascii="Arial" w:hAnsi="Arial" w:cs="Arial"/>
          <w:lang w:val="es-ES"/>
        </w:rPr>
        <w:t>hipermetabólico</w:t>
      </w:r>
      <w:proofErr w:type="spellEnd"/>
      <w:r w:rsidR="002F750D" w:rsidRPr="00707D6E">
        <w:rPr>
          <w:rFonts w:ascii="Arial" w:hAnsi="Arial" w:cs="Arial"/>
          <w:lang w:val="es-ES"/>
        </w:rPr>
        <w:t>,</w:t>
      </w:r>
      <w:r w:rsidR="00EC6EE4" w:rsidRPr="00707D6E">
        <w:rPr>
          <w:rFonts w:ascii="Arial" w:hAnsi="Arial" w:cs="Arial"/>
          <w:lang w:val="es-ES"/>
        </w:rPr>
        <w:t xml:space="preserve"> </w:t>
      </w:r>
      <w:r w:rsidR="00AF4CE8" w:rsidRPr="00707D6E">
        <w:rPr>
          <w:rFonts w:ascii="Arial" w:hAnsi="Arial" w:cs="Arial"/>
          <w:lang w:val="es-ES"/>
        </w:rPr>
        <w:t xml:space="preserve">el cual puede encontrarse alejado de las crestas iliacas, </w:t>
      </w:r>
      <w:r w:rsidR="00124121" w:rsidRPr="00707D6E">
        <w:rPr>
          <w:rFonts w:ascii="Arial" w:hAnsi="Arial" w:cs="Arial"/>
          <w:lang w:val="es-ES"/>
        </w:rPr>
        <w:t>y así</w:t>
      </w:r>
      <w:r w:rsidR="002B51F6" w:rsidRPr="00707D6E">
        <w:rPr>
          <w:rFonts w:ascii="Arial" w:hAnsi="Arial" w:cs="Arial"/>
          <w:lang w:val="es-ES"/>
        </w:rPr>
        <w:t xml:space="preserve"> </w:t>
      </w:r>
      <w:r w:rsidR="00124121" w:rsidRPr="00707D6E">
        <w:rPr>
          <w:rFonts w:ascii="Arial" w:hAnsi="Arial" w:cs="Arial"/>
          <w:lang w:val="es-ES"/>
        </w:rPr>
        <w:t xml:space="preserve">aumentar </w:t>
      </w:r>
      <w:r w:rsidR="00CD1886" w:rsidRPr="00707D6E">
        <w:rPr>
          <w:rFonts w:ascii="Arial" w:hAnsi="Arial" w:cs="Arial"/>
          <w:lang w:val="es-ES"/>
        </w:rPr>
        <w:t>su</w:t>
      </w:r>
      <w:r w:rsidR="00124121" w:rsidRPr="00707D6E">
        <w:rPr>
          <w:rFonts w:ascii="Arial" w:hAnsi="Arial" w:cs="Arial"/>
          <w:lang w:val="es-ES"/>
        </w:rPr>
        <w:t xml:space="preserve"> </w:t>
      </w:r>
      <w:proofErr w:type="gramStart"/>
      <w:r w:rsidR="00124121" w:rsidRPr="00707D6E">
        <w:rPr>
          <w:rFonts w:ascii="Arial" w:hAnsi="Arial" w:cs="Arial"/>
          <w:lang w:val="es-ES"/>
        </w:rPr>
        <w:t>rendimiento</w:t>
      </w:r>
      <w:r w:rsidR="009D6F0D" w:rsidRPr="00707D6E">
        <w:rPr>
          <w:rFonts w:ascii="Arial" w:hAnsi="Arial" w:cs="Arial"/>
          <w:vertAlign w:val="superscript"/>
          <w:lang w:val="es-ES"/>
        </w:rPr>
        <w:t>(</w:t>
      </w:r>
      <w:proofErr w:type="gramEnd"/>
      <w:r w:rsidR="009D6F0D" w:rsidRPr="00707D6E">
        <w:rPr>
          <w:rFonts w:ascii="Arial" w:hAnsi="Arial" w:cs="Arial"/>
          <w:vertAlign w:val="superscript"/>
          <w:lang w:val="es-ES"/>
        </w:rPr>
        <w:t>7)</w:t>
      </w:r>
      <w:r w:rsidR="00EC6EE4" w:rsidRPr="00707D6E">
        <w:rPr>
          <w:rFonts w:ascii="Arial" w:hAnsi="Arial" w:cs="Arial"/>
          <w:lang w:val="es-ES"/>
        </w:rPr>
        <w:t>.</w:t>
      </w:r>
    </w:p>
    <w:p w14:paraId="34DB26D7" w14:textId="79C78A93" w:rsidR="00B27487" w:rsidRPr="00707D6E" w:rsidRDefault="00DC30DE" w:rsidP="008A70CB">
      <w:pPr>
        <w:spacing w:line="360" w:lineRule="auto"/>
        <w:rPr>
          <w:rFonts w:ascii="Arial" w:hAnsi="Arial" w:cs="Arial"/>
          <w:lang w:val="es-ES"/>
        </w:rPr>
      </w:pPr>
      <w:r>
        <w:rPr>
          <w:rFonts w:ascii="Arial" w:hAnsi="Arial" w:cs="Arial"/>
          <w:lang w:val="es-ES"/>
        </w:rPr>
        <w:t xml:space="preserve">El PET/CT puede ser el </w:t>
      </w:r>
      <w:r w:rsidR="00742217">
        <w:rPr>
          <w:rFonts w:ascii="Arial" w:hAnsi="Arial" w:cs="Arial"/>
          <w:lang w:val="es-ES"/>
        </w:rPr>
        <w:t>estudio de imágenes</w:t>
      </w:r>
      <w:r>
        <w:rPr>
          <w:rFonts w:ascii="Arial" w:hAnsi="Arial" w:cs="Arial"/>
          <w:lang w:val="es-ES"/>
        </w:rPr>
        <w:t xml:space="preserve"> de etapificación único, evitando duplicidad de </w:t>
      </w:r>
      <w:r w:rsidR="005A0D94">
        <w:rPr>
          <w:rFonts w:ascii="Arial" w:hAnsi="Arial" w:cs="Arial"/>
          <w:lang w:val="es-ES"/>
        </w:rPr>
        <w:t>exámenes</w:t>
      </w:r>
      <w:r>
        <w:rPr>
          <w:rFonts w:ascii="Arial" w:hAnsi="Arial" w:cs="Arial"/>
          <w:lang w:val="es-ES"/>
        </w:rPr>
        <w:t xml:space="preserve">, ya que incluye la tomografía computada de tórax y reemplaza a la cintigrafía, incluso con una mayor sensibilidad en la detección de lesiones óseas, además de evitar el retraso </w:t>
      </w:r>
      <w:r w:rsidR="005A0D94">
        <w:rPr>
          <w:rFonts w:ascii="Arial" w:hAnsi="Arial" w:cs="Arial"/>
          <w:lang w:val="es-ES"/>
        </w:rPr>
        <w:t>en el</w:t>
      </w:r>
      <w:r>
        <w:rPr>
          <w:rFonts w:ascii="Arial" w:hAnsi="Arial" w:cs="Arial"/>
          <w:lang w:val="es-ES"/>
        </w:rPr>
        <w:t xml:space="preserve"> inicio de la terapia y </w:t>
      </w:r>
      <w:r w:rsidR="00B96FD3">
        <w:rPr>
          <w:rFonts w:ascii="Arial" w:hAnsi="Arial" w:cs="Arial"/>
          <w:lang w:val="es-ES"/>
        </w:rPr>
        <w:t>cambiar el</w:t>
      </w:r>
      <w:r>
        <w:rPr>
          <w:rFonts w:ascii="Arial" w:hAnsi="Arial" w:cs="Arial"/>
          <w:lang w:val="es-ES"/>
        </w:rPr>
        <w:t xml:space="preserve"> </w:t>
      </w:r>
      <w:r w:rsidR="005A0D94">
        <w:rPr>
          <w:rFonts w:ascii="Arial" w:hAnsi="Arial" w:cs="Arial"/>
          <w:lang w:val="es-ES"/>
        </w:rPr>
        <w:t xml:space="preserve">pronóstico y </w:t>
      </w:r>
      <w:r>
        <w:rPr>
          <w:rFonts w:ascii="Arial" w:hAnsi="Arial" w:cs="Arial"/>
          <w:lang w:val="es-ES"/>
        </w:rPr>
        <w:t>manejo en aquellos pacientes en los cuales detecta enfermedad a distancia.</w:t>
      </w:r>
      <w:r w:rsidR="00B96FD3">
        <w:rPr>
          <w:rFonts w:ascii="Arial" w:hAnsi="Arial" w:cs="Arial"/>
          <w:lang w:val="es-ES"/>
        </w:rPr>
        <w:t xml:space="preserve"> Esta técnica híbrida </w:t>
      </w:r>
      <w:r w:rsidR="00742217">
        <w:rPr>
          <w:rFonts w:ascii="Arial" w:hAnsi="Arial" w:cs="Arial"/>
          <w:lang w:val="es-ES"/>
        </w:rPr>
        <w:t xml:space="preserve">puede </w:t>
      </w:r>
      <w:r w:rsidR="005A0D94">
        <w:rPr>
          <w:rFonts w:ascii="Arial" w:hAnsi="Arial" w:cs="Arial"/>
          <w:lang w:val="es-ES"/>
        </w:rPr>
        <w:t>dirigir</w:t>
      </w:r>
      <w:r w:rsidR="00742217">
        <w:rPr>
          <w:rFonts w:ascii="Arial" w:hAnsi="Arial" w:cs="Arial"/>
          <w:lang w:val="es-ES"/>
        </w:rPr>
        <w:t xml:space="preserve"> </w:t>
      </w:r>
      <w:r w:rsidR="005A0D94">
        <w:rPr>
          <w:rFonts w:ascii="Arial" w:hAnsi="Arial" w:cs="Arial"/>
          <w:lang w:val="es-ES"/>
        </w:rPr>
        <w:t>la</w:t>
      </w:r>
      <w:r w:rsidR="00742217">
        <w:rPr>
          <w:rFonts w:ascii="Arial" w:hAnsi="Arial" w:cs="Arial"/>
          <w:lang w:val="es-ES"/>
        </w:rPr>
        <w:t xml:space="preserve"> biopsia de médula ósea </w:t>
      </w:r>
      <w:r w:rsidR="005A0D94">
        <w:rPr>
          <w:rFonts w:ascii="Arial" w:hAnsi="Arial" w:cs="Arial"/>
          <w:lang w:val="es-ES"/>
        </w:rPr>
        <w:t>e incluso pudiese llegar a omitir</w:t>
      </w:r>
      <w:r w:rsidR="007F7B7F">
        <w:rPr>
          <w:rFonts w:ascii="Arial" w:hAnsi="Arial" w:cs="Arial"/>
          <w:lang w:val="es-ES"/>
        </w:rPr>
        <w:t>se</w:t>
      </w:r>
      <w:r w:rsidR="005A0D94">
        <w:rPr>
          <w:rFonts w:ascii="Arial" w:hAnsi="Arial" w:cs="Arial"/>
          <w:lang w:val="es-ES"/>
        </w:rPr>
        <w:t xml:space="preserve"> </w:t>
      </w:r>
      <w:r w:rsidR="007F7B7F">
        <w:rPr>
          <w:rFonts w:ascii="Arial" w:hAnsi="Arial" w:cs="Arial"/>
          <w:lang w:val="es-ES"/>
        </w:rPr>
        <w:t xml:space="preserve">ésta </w:t>
      </w:r>
      <w:r w:rsidR="005A0D94">
        <w:rPr>
          <w:rFonts w:ascii="Arial" w:hAnsi="Arial" w:cs="Arial"/>
          <w:lang w:val="es-ES"/>
        </w:rPr>
        <w:t xml:space="preserve">en caso de un </w:t>
      </w:r>
      <w:r w:rsidR="007F7B7F">
        <w:rPr>
          <w:rFonts w:ascii="Arial" w:hAnsi="Arial" w:cs="Arial"/>
          <w:lang w:val="es-ES"/>
        </w:rPr>
        <w:t>examen</w:t>
      </w:r>
      <w:r w:rsidR="005A0D94">
        <w:rPr>
          <w:rFonts w:ascii="Arial" w:hAnsi="Arial" w:cs="Arial"/>
          <w:lang w:val="es-ES"/>
        </w:rPr>
        <w:t xml:space="preserve"> sin evidencia de diseminación</w:t>
      </w:r>
      <w:r w:rsidR="007F7B7F">
        <w:rPr>
          <w:rFonts w:ascii="Arial" w:hAnsi="Arial" w:cs="Arial"/>
          <w:lang w:val="es-ES"/>
        </w:rPr>
        <w:t xml:space="preserve"> a </w:t>
      </w:r>
      <w:proofErr w:type="gramStart"/>
      <w:r w:rsidR="007F7B7F">
        <w:rPr>
          <w:rFonts w:ascii="Arial" w:hAnsi="Arial" w:cs="Arial"/>
          <w:lang w:val="es-ES"/>
        </w:rPr>
        <w:t>distancia</w:t>
      </w:r>
      <w:r w:rsidR="005A0D94" w:rsidRPr="005A0D94">
        <w:rPr>
          <w:rFonts w:ascii="Arial" w:hAnsi="Arial" w:cs="Arial"/>
          <w:vertAlign w:val="superscript"/>
          <w:lang w:val="es-ES"/>
        </w:rPr>
        <w:t>(</w:t>
      </w:r>
      <w:proofErr w:type="gramEnd"/>
      <w:r w:rsidR="005A0D94" w:rsidRPr="005A0D94">
        <w:rPr>
          <w:rFonts w:ascii="Arial" w:hAnsi="Arial" w:cs="Arial"/>
          <w:vertAlign w:val="superscript"/>
          <w:lang w:val="es-ES"/>
        </w:rPr>
        <w:t>8)</w:t>
      </w:r>
      <w:r w:rsidR="005A0D94">
        <w:rPr>
          <w:rFonts w:ascii="Arial" w:hAnsi="Arial" w:cs="Arial"/>
          <w:lang w:val="es-ES"/>
        </w:rPr>
        <w:t>.</w:t>
      </w:r>
    </w:p>
    <w:p w14:paraId="48BD6D58" w14:textId="29C52261" w:rsidR="00C76576" w:rsidRPr="00707D6E" w:rsidRDefault="00227907" w:rsidP="008A70CB">
      <w:pPr>
        <w:spacing w:line="360" w:lineRule="auto"/>
        <w:rPr>
          <w:rFonts w:ascii="Arial" w:hAnsi="Arial" w:cs="Arial"/>
          <w:lang w:val="es-ES"/>
        </w:rPr>
      </w:pPr>
      <w:r w:rsidRPr="00707D6E">
        <w:rPr>
          <w:rFonts w:ascii="Arial" w:hAnsi="Arial" w:cs="Arial"/>
          <w:lang w:val="es-ES"/>
        </w:rPr>
        <w:t>S</w:t>
      </w:r>
      <w:r w:rsidR="005561EE" w:rsidRPr="00707D6E">
        <w:rPr>
          <w:rFonts w:ascii="Arial" w:hAnsi="Arial" w:cs="Arial"/>
          <w:lang w:val="es-ES"/>
        </w:rPr>
        <w:t xml:space="preserve">e ha estudiado el </w:t>
      </w:r>
      <w:r w:rsidR="00FA61BD" w:rsidRPr="00707D6E">
        <w:rPr>
          <w:rFonts w:ascii="Arial" w:hAnsi="Arial" w:cs="Arial"/>
          <w:lang w:val="es-ES"/>
        </w:rPr>
        <w:t xml:space="preserve">uso del </w:t>
      </w:r>
      <w:r w:rsidR="005561EE" w:rsidRPr="00707D6E">
        <w:rPr>
          <w:rFonts w:ascii="Arial" w:hAnsi="Arial" w:cs="Arial"/>
          <w:lang w:val="es-ES"/>
        </w:rPr>
        <w:t>PET</w:t>
      </w:r>
      <w:r w:rsidR="00124121" w:rsidRPr="00707D6E">
        <w:rPr>
          <w:rFonts w:ascii="Arial" w:hAnsi="Arial" w:cs="Arial"/>
          <w:lang w:val="es-ES"/>
        </w:rPr>
        <w:t>/</w:t>
      </w:r>
      <w:r w:rsidR="005561EE" w:rsidRPr="00707D6E">
        <w:rPr>
          <w:rFonts w:ascii="Arial" w:hAnsi="Arial" w:cs="Arial"/>
          <w:lang w:val="es-ES"/>
        </w:rPr>
        <w:t xml:space="preserve">CT en la evaluación de la respuesta a tratamiento en el sarcoma de </w:t>
      </w:r>
      <w:proofErr w:type="spellStart"/>
      <w:r w:rsidR="005561EE" w:rsidRPr="00707D6E">
        <w:rPr>
          <w:rFonts w:ascii="Arial" w:hAnsi="Arial" w:cs="Arial"/>
          <w:lang w:val="es-ES"/>
        </w:rPr>
        <w:t>Ewing</w:t>
      </w:r>
      <w:proofErr w:type="spellEnd"/>
      <w:r w:rsidR="005561EE" w:rsidRPr="00707D6E">
        <w:rPr>
          <w:rFonts w:ascii="Arial" w:hAnsi="Arial" w:cs="Arial"/>
          <w:lang w:val="es-ES"/>
        </w:rPr>
        <w:t xml:space="preserve">, </w:t>
      </w:r>
      <w:r w:rsidR="00AB7023" w:rsidRPr="00707D6E">
        <w:rPr>
          <w:rFonts w:ascii="Arial" w:hAnsi="Arial" w:cs="Arial"/>
          <w:lang w:val="es-ES"/>
        </w:rPr>
        <w:t xml:space="preserve">siendo reconocida su utilidad como factor pronóstico y su buena correlación </w:t>
      </w:r>
      <w:r w:rsidR="00FC669A" w:rsidRPr="00707D6E">
        <w:rPr>
          <w:rFonts w:ascii="Arial" w:hAnsi="Arial" w:cs="Arial"/>
          <w:lang w:val="es-ES"/>
        </w:rPr>
        <w:t xml:space="preserve">con la respuesta </w:t>
      </w:r>
      <w:proofErr w:type="gramStart"/>
      <w:r w:rsidR="00FC669A" w:rsidRPr="00707D6E">
        <w:rPr>
          <w:rFonts w:ascii="Arial" w:hAnsi="Arial" w:cs="Arial"/>
          <w:lang w:val="es-ES"/>
        </w:rPr>
        <w:t>tumoral</w:t>
      </w:r>
      <w:r w:rsidR="005C761D" w:rsidRPr="00707D6E">
        <w:rPr>
          <w:rFonts w:ascii="Arial" w:hAnsi="Arial" w:cs="Arial"/>
          <w:vertAlign w:val="superscript"/>
          <w:lang w:val="es-ES"/>
        </w:rPr>
        <w:t>(</w:t>
      </w:r>
      <w:proofErr w:type="gramEnd"/>
      <w:r w:rsidR="005A0D94">
        <w:rPr>
          <w:rFonts w:ascii="Arial" w:hAnsi="Arial" w:cs="Arial"/>
          <w:vertAlign w:val="superscript"/>
          <w:lang w:val="es-ES"/>
        </w:rPr>
        <w:t>9</w:t>
      </w:r>
      <w:r w:rsidR="005C761D" w:rsidRPr="00707D6E">
        <w:rPr>
          <w:rFonts w:ascii="Arial" w:hAnsi="Arial" w:cs="Arial"/>
          <w:vertAlign w:val="superscript"/>
          <w:lang w:val="es-ES"/>
        </w:rPr>
        <w:t>)</w:t>
      </w:r>
      <w:r w:rsidR="00FC669A" w:rsidRPr="00707D6E">
        <w:rPr>
          <w:rFonts w:ascii="Arial" w:hAnsi="Arial" w:cs="Arial"/>
          <w:lang w:val="es-ES"/>
        </w:rPr>
        <w:t>.</w:t>
      </w:r>
    </w:p>
    <w:p w14:paraId="6B082141" w14:textId="1CDD757C" w:rsidR="00FC669A" w:rsidRPr="00707D6E" w:rsidRDefault="00FC669A" w:rsidP="008A70CB">
      <w:pPr>
        <w:spacing w:line="360" w:lineRule="auto"/>
        <w:rPr>
          <w:rFonts w:ascii="Arial" w:hAnsi="Arial" w:cs="Arial"/>
          <w:lang w:val="es-ES"/>
        </w:rPr>
      </w:pPr>
      <w:r w:rsidRPr="00707D6E">
        <w:rPr>
          <w:rFonts w:ascii="Arial" w:hAnsi="Arial" w:cs="Arial"/>
          <w:lang w:val="es-ES"/>
        </w:rPr>
        <w:t xml:space="preserve">La </w:t>
      </w:r>
      <w:proofErr w:type="spellStart"/>
      <w:r w:rsidR="005267DD" w:rsidRPr="00707D6E">
        <w:rPr>
          <w:rFonts w:ascii="Arial" w:hAnsi="Arial" w:cs="Arial"/>
          <w:lang w:val="es-ES"/>
        </w:rPr>
        <w:t>National</w:t>
      </w:r>
      <w:proofErr w:type="spellEnd"/>
      <w:r w:rsidR="005267DD" w:rsidRPr="00707D6E">
        <w:rPr>
          <w:rFonts w:ascii="Arial" w:hAnsi="Arial" w:cs="Arial"/>
          <w:lang w:val="es-ES"/>
        </w:rPr>
        <w:t xml:space="preserve"> </w:t>
      </w:r>
      <w:proofErr w:type="spellStart"/>
      <w:r w:rsidR="005267DD" w:rsidRPr="00707D6E">
        <w:rPr>
          <w:rFonts w:ascii="Arial" w:hAnsi="Arial" w:cs="Arial"/>
          <w:lang w:val="es-ES"/>
        </w:rPr>
        <w:t>Comprehensive</w:t>
      </w:r>
      <w:proofErr w:type="spellEnd"/>
      <w:r w:rsidR="005267DD" w:rsidRPr="00707D6E">
        <w:rPr>
          <w:rFonts w:ascii="Arial" w:hAnsi="Arial" w:cs="Arial"/>
          <w:lang w:val="es-ES"/>
        </w:rPr>
        <w:t xml:space="preserve"> </w:t>
      </w:r>
      <w:proofErr w:type="spellStart"/>
      <w:r w:rsidR="00190E40" w:rsidRPr="00707D6E">
        <w:rPr>
          <w:rFonts w:ascii="Arial" w:hAnsi="Arial" w:cs="Arial"/>
          <w:lang w:val="es-ES"/>
        </w:rPr>
        <w:t>Cancer</w:t>
      </w:r>
      <w:proofErr w:type="spellEnd"/>
      <w:r w:rsidR="00190E40" w:rsidRPr="00707D6E">
        <w:rPr>
          <w:rFonts w:ascii="Arial" w:hAnsi="Arial" w:cs="Arial"/>
          <w:lang w:val="es-ES"/>
        </w:rPr>
        <w:t xml:space="preserve"> Network (NCCN) recomienda en su guía del año 20</w:t>
      </w:r>
      <w:r w:rsidR="001F482E" w:rsidRPr="00707D6E">
        <w:rPr>
          <w:rFonts w:ascii="Arial" w:hAnsi="Arial" w:cs="Arial"/>
          <w:lang w:val="es-ES"/>
        </w:rPr>
        <w:t>20</w:t>
      </w:r>
      <w:r w:rsidR="00190E40" w:rsidRPr="00707D6E">
        <w:rPr>
          <w:rFonts w:ascii="Arial" w:hAnsi="Arial" w:cs="Arial"/>
          <w:lang w:val="es-ES"/>
        </w:rPr>
        <w:t xml:space="preserve"> el uso del PET-CT en el manejo inicial y en la evaluación de la respuesta a tratamiento </w:t>
      </w:r>
      <w:r w:rsidR="00A2708D" w:rsidRPr="00707D6E">
        <w:rPr>
          <w:rFonts w:ascii="Arial" w:hAnsi="Arial" w:cs="Arial"/>
          <w:lang w:val="es-ES"/>
        </w:rPr>
        <w:t xml:space="preserve">del sarcoma de </w:t>
      </w:r>
      <w:proofErr w:type="spellStart"/>
      <w:r w:rsidR="00A2708D" w:rsidRPr="00707D6E">
        <w:rPr>
          <w:rFonts w:ascii="Arial" w:hAnsi="Arial" w:cs="Arial"/>
          <w:lang w:val="es-ES"/>
        </w:rPr>
        <w:t>Ewing</w:t>
      </w:r>
      <w:proofErr w:type="spellEnd"/>
      <w:r w:rsidR="00A2708D" w:rsidRPr="00707D6E">
        <w:rPr>
          <w:rFonts w:ascii="Arial" w:hAnsi="Arial" w:cs="Arial"/>
          <w:lang w:val="es-ES"/>
        </w:rPr>
        <w:t>.</w:t>
      </w:r>
    </w:p>
    <w:p w14:paraId="238E75AC" w14:textId="77777777" w:rsidR="006742FF" w:rsidRPr="00707D6E" w:rsidRDefault="006742FF" w:rsidP="008A70CB">
      <w:pPr>
        <w:spacing w:line="360" w:lineRule="auto"/>
        <w:rPr>
          <w:rFonts w:ascii="Arial" w:hAnsi="Arial" w:cs="Arial"/>
          <w:lang w:val="es-ES"/>
        </w:rPr>
      </w:pPr>
    </w:p>
    <w:p w14:paraId="43936B11" w14:textId="26B15492" w:rsidR="00011469" w:rsidRPr="00707D6E" w:rsidRDefault="00011469" w:rsidP="008A70CB">
      <w:pPr>
        <w:spacing w:line="360" w:lineRule="auto"/>
        <w:rPr>
          <w:rFonts w:ascii="Arial" w:hAnsi="Arial" w:cs="Arial"/>
          <w:b/>
          <w:bCs/>
          <w:lang w:val="es-ES"/>
        </w:rPr>
      </w:pPr>
      <w:r w:rsidRPr="00707D6E">
        <w:rPr>
          <w:rFonts w:ascii="Arial" w:hAnsi="Arial" w:cs="Arial"/>
          <w:b/>
          <w:bCs/>
          <w:lang w:val="es-ES"/>
        </w:rPr>
        <w:t>Conclusión</w:t>
      </w:r>
      <w:r w:rsidR="00FC669A" w:rsidRPr="00707D6E">
        <w:rPr>
          <w:rFonts w:ascii="Arial" w:hAnsi="Arial" w:cs="Arial"/>
          <w:b/>
          <w:bCs/>
          <w:lang w:val="es-ES"/>
        </w:rPr>
        <w:t>:</w:t>
      </w:r>
    </w:p>
    <w:p w14:paraId="6191C228" w14:textId="273E9BE3" w:rsidR="00B9750E" w:rsidRPr="00707D6E" w:rsidRDefault="00CF6442" w:rsidP="008A70CB">
      <w:pPr>
        <w:spacing w:line="360" w:lineRule="auto"/>
        <w:rPr>
          <w:rFonts w:ascii="Arial" w:hAnsi="Arial" w:cs="Arial"/>
          <w:lang w:val="es-ES"/>
        </w:rPr>
      </w:pPr>
      <w:r w:rsidRPr="00707D6E">
        <w:rPr>
          <w:rFonts w:ascii="Arial" w:hAnsi="Arial" w:cs="Arial"/>
          <w:lang w:val="es-ES"/>
        </w:rPr>
        <w:t>En la actualidad las guías internacionales recomienda</w:t>
      </w:r>
      <w:r w:rsidR="00271429" w:rsidRPr="00707D6E">
        <w:rPr>
          <w:rFonts w:ascii="Arial" w:hAnsi="Arial" w:cs="Arial"/>
          <w:lang w:val="es-ES"/>
        </w:rPr>
        <w:t>n el uso del PET</w:t>
      </w:r>
      <w:r w:rsidR="00124121" w:rsidRPr="00707D6E">
        <w:rPr>
          <w:rFonts w:ascii="Arial" w:hAnsi="Arial" w:cs="Arial"/>
          <w:lang w:val="es-ES"/>
        </w:rPr>
        <w:t>/</w:t>
      </w:r>
      <w:r w:rsidR="00271429" w:rsidRPr="00707D6E">
        <w:rPr>
          <w:rFonts w:ascii="Arial" w:hAnsi="Arial" w:cs="Arial"/>
          <w:lang w:val="es-ES"/>
        </w:rPr>
        <w:t>CT</w:t>
      </w:r>
      <w:r w:rsidR="00124121" w:rsidRPr="00707D6E">
        <w:rPr>
          <w:rFonts w:ascii="Arial" w:hAnsi="Arial" w:cs="Arial"/>
          <w:lang w:val="es-ES"/>
        </w:rPr>
        <w:t xml:space="preserve"> FDG-F18</w:t>
      </w:r>
      <w:r w:rsidR="00271429" w:rsidRPr="00707D6E">
        <w:rPr>
          <w:rFonts w:ascii="Arial" w:hAnsi="Arial" w:cs="Arial"/>
          <w:lang w:val="es-ES"/>
        </w:rPr>
        <w:t xml:space="preserve"> en la etapificación y evaluación de respuesta a tratamiento </w:t>
      </w:r>
      <w:r w:rsidR="00FA762E" w:rsidRPr="00707D6E">
        <w:rPr>
          <w:rFonts w:ascii="Arial" w:hAnsi="Arial" w:cs="Arial"/>
          <w:lang w:val="es-ES"/>
        </w:rPr>
        <w:t>d</w:t>
      </w:r>
      <w:r w:rsidR="00271429" w:rsidRPr="00707D6E">
        <w:rPr>
          <w:rFonts w:ascii="Arial" w:hAnsi="Arial" w:cs="Arial"/>
          <w:lang w:val="es-ES"/>
        </w:rPr>
        <w:t xml:space="preserve">el sarcoma de </w:t>
      </w:r>
      <w:proofErr w:type="spellStart"/>
      <w:r w:rsidR="00271429" w:rsidRPr="00707D6E">
        <w:rPr>
          <w:rFonts w:ascii="Arial" w:hAnsi="Arial" w:cs="Arial"/>
          <w:lang w:val="es-ES"/>
        </w:rPr>
        <w:t>Ewing</w:t>
      </w:r>
      <w:proofErr w:type="spellEnd"/>
      <w:r w:rsidR="00BD2AC9" w:rsidRPr="00707D6E">
        <w:rPr>
          <w:rFonts w:ascii="Arial" w:hAnsi="Arial" w:cs="Arial"/>
          <w:lang w:val="es-ES"/>
        </w:rPr>
        <w:t xml:space="preserve"> </w:t>
      </w:r>
      <w:r w:rsidR="000911AB" w:rsidRPr="00707D6E">
        <w:rPr>
          <w:rFonts w:ascii="Arial" w:hAnsi="Arial" w:cs="Arial"/>
          <w:lang w:val="es-ES"/>
        </w:rPr>
        <w:t>debido a</w:t>
      </w:r>
      <w:r w:rsidR="00BD2AC9" w:rsidRPr="00707D6E">
        <w:rPr>
          <w:rFonts w:ascii="Arial" w:hAnsi="Arial" w:cs="Arial"/>
          <w:lang w:val="es-ES"/>
        </w:rPr>
        <w:t xml:space="preserve"> su mayor sensibilidad </w:t>
      </w:r>
      <w:r w:rsidR="003869BB" w:rsidRPr="00707D6E">
        <w:rPr>
          <w:rFonts w:ascii="Arial" w:hAnsi="Arial" w:cs="Arial"/>
          <w:lang w:val="es-ES"/>
        </w:rPr>
        <w:t xml:space="preserve">y precisión </w:t>
      </w:r>
      <w:r w:rsidR="00BF27D1" w:rsidRPr="00707D6E">
        <w:rPr>
          <w:rFonts w:ascii="Arial" w:hAnsi="Arial" w:cs="Arial"/>
          <w:lang w:val="es-ES"/>
        </w:rPr>
        <w:t xml:space="preserve">en comparación </w:t>
      </w:r>
      <w:r w:rsidR="00E60B33" w:rsidRPr="00707D6E">
        <w:rPr>
          <w:rFonts w:ascii="Arial" w:hAnsi="Arial" w:cs="Arial"/>
          <w:lang w:val="es-ES"/>
        </w:rPr>
        <w:t>con</w:t>
      </w:r>
      <w:r w:rsidR="00BF27D1" w:rsidRPr="00707D6E">
        <w:rPr>
          <w:rFonts w:ascii="Arial" w:hAnsi="Arial" w:cs="Arial"/>
          <w:lang w:val="es-ES"/>
        </w:rPr>
        <w:t xml:space="preserve"> otros métodos de imágenes</w:t>
      </w:r>
      <w:r w:rsidR="00B27487">
        <w:rPr>
          <w:rFonts w:ascii="Arial" w:hAnsi="Arial" w:cs="Arial"/>
          <w:lang w:val="es-ES"/>
        </w:rPr>
        <w:t xml:space="preserve">, especialmente en la detección de metástasis ósea y </w:t>
      </w:r>
      <w:r w:rsidR="001E2A33">
        <w:rPr>
          <w:rFonts w:ascii="Arial" w:hAnsi="Arial" w:cs="Arial"/>
          <w:lang w:val="es-ES"/>
        </w:rPr>
        <w:t>de</w:t>
      </w:r>
      <w:r w:rsidR="00B27487">
        <w:rPr>
          <w:rFonts w:ascii="Arial" w:hAnsi="Arial" w:cs="Arial"/>
          <w:lang w:val="es-ES"/>
        </w:rPr>
        <w:t xml:space="preserve"> médula ósea</w:t>
      </w:r>
      <w:r w:rsidR="00BF27D1" w:rsidRPr="00707D6E">
        <w:rPr>
          <w:rFonts w:ascii="Arial" w:hAnsi="Arial" w:cs="Arial"/>
          <w:lang w:val="es-ES"/>
        </w:rPr>
        <w:t>.</w:t>
      </w:r>
      <w:r w:rsidR="001E2A33">
        <w:rPr>
          <w:rFonts w:ascii="Arial" w:hAnsi="Arial" w:cs="Arial"/>
          <w:lang w:val="es-ES"/>
        </w:rPr>
        <w:t xml:space="preserve"> </w:t>
      </w:r>
    </w:p>
    <w:p w14:paraId="35103CC4" w14:textId="77777777" w:rsidR="00B9750E" w:rsidRPr="00707D6E" w:rsidRDefault="00B9750E" w:rsidP="008A70CB">
      <w:pPr>
        <w:spacing w:line="360" w:lineRule="auto"/>
        <w:rPr>
          <w:rFonts w:ascii="Arial" w:hAnsi="Arial" w:cs="Arial"/>
          <w:lang w:val="es-ES"/>
        </w:rPr>
      </w:pPr>
    </w:p>
    <w:p w14:paraId="2A6B27C0" w14:textId="4C267E0E" w:rsidR="00011469" w:rsidRDefault="00011469" w:rsidP="008A70CB">
      <w:pPr>
        <w:spacing w:line="360" w:lineRule="auto"/>
        <w:rPr>
          <w:rFonts w:ascii="Arial" w:hAnsi="Arial" w:cs="Arial"/>
          <w:lang w:val="es-ES"/>
        </w:rPr>
      </w:pPr>
    </w:p>
    <w:p w14:paraId="7BBEC7D5" w14:textId="77777777" w:rsidR="0066181A" w:rsidRPr="00707D6E" w:rsidRDefault="0066181A" w:rsidP="008A70CB">
      <w:pPr>
        <w:spacing w:line="360" w:lineRule="auto"/>
        <w:rPr>
          <w:rFonts w:ascii="Arial" w:hAnsi="Arial" w:cs="Arial"/>
          <w:lang w:val="es-ES"/>
        </w:rPr>
      </w:pPr>
    </w:p>
    <w:p w14:paraId="56335727" w14:textId="2FF83356" w:rsidR="003A3BA9" w:rsidRPr="00707D6E" w:rsidRDefault="003A3BA9" w:rsidP="008A70CB">
      <w:pPr>
        <w:spacing w:line="360" w:lineRule="auto"/>
        <w:rPr>
          <w:rFonts w:ascii="Arial" w:hAnsi="Arial" w:cs="Arial"/>
          <w:b/>
          <w:bCs/>
          <w:lang w:val="en-US"/>
        </w:rPr>
      </w:pPr>
      <w:proofErr w:type="spellStart"/>
      <w:r w:rsidRPr="00707D6E">
        <w:rPr>
          <w:rFonts w:ascii="Arial" w:hAnsi="Arial" w:cs="Arial"/>
          <w:b/>
          <w:bCs/>
          <w:lang w:val="en-US"/>
        </w:rPr>
        <w:lastRenderedPageBreak/>
        <w:t>Referencias</w:t>
      </w:r>
      <w:proofErr w:type="spellEnd"/>
      <w:r w:rsidR="00A829EA">
        <w:rPr>
          <w:rFonts w:ascii="Arial" w:hAnsi="Arial" w:cs="Arial"/>
          <w:b/>
          <w:bCs/>
          <w:lang w:val="en-US"/>
        </w:rPr>
        <w:t>:</w:t>
      </w:r>
    </w:p>
    <w:p w14:paraId="7193C045" w14:textId="19818569" w:rsidR="00A829EA" w:rsidRPr="005E5437" w:rsidRDefault="00A829EA" w:rsidP="00A829EA">
      <w:pPr>
        <w:spacing w:line="360" w:lineRule="auto"/>
        <w:rPr>
          <w:rFonts w:ascii="Arial" w:eastAsia="Times New Roman" w:hAnsi="Arial" w:cs="Arial"/>
          <w:lang w:val="en-US" w:eastAsia="es-ES_tradnl"/>
        </w:rPr>
      </w:pPr>
      <w:r w:rsidRPr="005E5437">
        <w:rPr>
          <w:rFonts w:ascii="Arial" w:eastAsia="Times New Roman" w:hAnsi="Arial" w:cs="Arial"/>
          <w:lang w:val="en-US" w:eastAsia="es-ES_tradnl"/>
        </w:rPr>
        <w:t xml:space="preserve">1. Bernstein M, </w:t>
      </w:r>
      <w:proofErr w:type="spellStart"/>
      <w:r w:rsidRPr="005E5437">
        <w:rPr>
          <w:rFonts w:ascii="Arial" w:eastAsia="Times New Roman" w:hAnsi="Arial" w:cs="Arial"/>
          <w:lang w:val="en-US" w:eastAsia="es-ES_tradnl"/>
        </w:rPr>
        <w:t>Kovar</w:t>
      </w:r>
      <w:proofErr w:type="spellEnd"/>
      <w:r w:rsidRPr="005E5437">
        <w:rPr>
          <w:rFonts w:ascii="Arial" w:eastAsia="Times New Roman" w:hAnsi="Arial" w:cs="Arial"/>
          <w:lang w:val="en-US" w:eastAsia="es-ES_tradnl"/>
        </w:rPr>
        <w:t xml:space="preserve"> H, </w:t>
      </w:r>
      <w:proofErr w:type="spellStart"/>
      <w:r w:rsidRPr="005E5437">
        <w:rPr>
          <w:rFonts w:ascii="Arial" w:eastAsia="Times New Roman" w:hAnsi="Arial" w:cs="Arial"/>
          <w:lang w:val="en-US" w:eastAsia="es-ES_tradnl"/>
        </w:rPr>
        <w:t>Paulussen</w:t>
      </w:r>
      <w:proofErr w:type="spellEnd"/>
      <w:r w:rsidRPr="005E5437">
        <w:rPr>
          <w:rFonts w:ascii="Arial" w:eastAsia="Times New Roman" w:hAnsi="Arial" w:cs="Arial"/>
          <w:lang w:val="en-US" w:eastAsia="es-ES_tradnl"/>
        </w:rPr>
        <w:t xml:space="preserve"> M, Randall RL, </w:t>
      </w:r>
      <w:proofErr w:type="spellStart"/>
      <w:r w:rsidRPr="005E5437">
        <w:rPr>
          <w:rFonts w:ascii="Arial" w:eastAsia="Times New Roman" w:hAnsi="Arial" w:cs="Arial"/>
          <w:lang w:val="en-US" w:eastAsia="es-ES_tradnl"/>
        </w:rPr>
        <w:t>Schuck</w:t>
      </w:r>
      <w:proofErr w:type="spellEnd"/>
      <w:r w:rsidRPr="005E5437">
        <w:rPr>
          <w:rFonts w:ascii="Arial" w:eastAsia="Times New Roman" w:hAnsi="Arial" w:cs="Arial"/>
          <w:lang w:val="en-US" w:eastAsia="es-ES_tradnl"/>
        </w:rPr>
        <w:t xml:space="preserve"> A, </w:t>
      </w:r>
      <w:proofErr w:type="spellStart"/>
      <w:r w:rsidRPr="005E5437">
        <w:rPr>
          <w:rFonts w:ascii="Arial" w:eastAsia="Times New Roman" w:hAnsi="Arial" w:cs="Arial"/>
          <w:lang w:val="en-US" w:eastAsia="es-ES_tradnl"/>
        </w:rPr>
        <w:t>Teot</w:t>
      </w:r>
      <w:proofErr w:type="spellEnd"/>
      <w:r w:rsidRPr="005E5437">
        <w:rPr>
          <w:rFonts w:ascii="Arial" w:eastAsia="Times New Roman" w:hAnsi="Arial" w:cs="Arial"/>
          <w:lang w:val="en-US" w:eastAsia="es-ES_tradnl"/>
        </w:rPr>
        <w:t xml:space="preserve"> LA, et al. Ewing’s sarcoma family of tumors: current management. Oncologist</w:t>
      </w:r>
      <w:r w:rsidR="0066181A">
        <w:rPr>
          <w:rFonts w:ascii="Arial" w:eastAsia="Times New Roman" w:hAnsi="Arial" w:cs="Arial"/>
          <w:lang w:val="en-US" w:eastAsia="es-ES_tradnl"/>
        </w:rPr>
        <w:t xml:space="preserve"> </w:t>
      </w:r>
      <w:r w:rsidRPr="005E5437">
        <w:rPr>
          <w:rFonts w:ascii="Arial" w:eastAsia="Times New Roman" w:hAnsi="Arial" w:cs="Arial"/>
          <w:lang w:val="en-US" w:eastAsia="es-ES_tradnl"/>
        </w:rPr>
        <w:t>2006;11(5):503-19.</w:t>
      </w:r>
    </w:p>
    <w:p w14:paraId="4C441971" w14:textId="18E7C4E5" w:rsidR="00A829EA" w:rsidRPr="00832714" w:rsidRDefault="00A829EA" w:rsidP="00A829EA">
      <w:pPr>
        <w:spacing w:line="360" w:lineRule="auto"/>
        <w:rPr>
          <w:rFonts w:ascii="Arial" w:eastAsia="Times New Roman" w:hAnsi="Arial" w:cs="Arial"/>
          <w:lang w:val="en-US" w:eastAsia="es-ES_tradnl"/>
        </w:rPr>
      </w:pPr>
      <w:r w:rsidRPr="005E5437">
        <w:rPr>
          <w:rFonts w:ascii="Arial" w:eastAsia="Times New Roman" w:hAnsi="Arial" w:cs="Arial"/>
          <w:lang w:val="en-US" w:eastAsia="es-ES_tradnl"/>
        </w:rPr>
        <w:t xml:space="preserve">2. Inagaki C, </w:t>
      </w:r>
      <w:proofErr w:type="spellStart"/>
      <w:r w:rsidRPr="005E5437">
        <w:rPr>
          <w:rFonts w:ascii="Arial" w:eastAsia="Times New Roman" w:hAnsi="Arial" w:cs="Arial"/>
          <w:lang w:val="en-US" w:eastAsia="es-ES_tradnl"/>
        </w:rPr>
        <w:t>Shimoi</w:t>
      </w:r>
      <w:proofErr w:type="spellEnd"/>
      <w:r w:rsidRPr="005E5437">
        <w:rPr>
          <w:rFonts w:ascii="Arial" w:eastAsia="Times New Roman" w:hAnsi="Arial" w:cs="Arial"/>
          <w:lang w:val="en-US" w:eastAsia="es-ES_tradnl"/>
        </w:rPr>
        <w:t xml:space="preserve"> T, Sumiyoshi Okuma H, </w:t>
      </w:r>
      <w:proofErr w:type="spellStart"/>
      <w:r w:rsidRPr="005E5437">
        <w:rPr>
          <w:rFonts w:ascii="Arial" w:eastAsia="Times New Roman" w:hAnsi="Arial" w:cs="Arial"/>
          <w:lang w:val="en-US" w:eastAsia="es-ES_tradnl"/>
        </w:rPr>
        <w:t>Kawachi</w:t>
      </w:r>
      <w:proofErr w:type="spellEnd"/>
      <w:r w:rsidRPr="005E5437">
        <w:rPr>
          <w:rFonts w:ascii="Arial" w:eastAsia="Times New Roman" w:hAnsi="Arial" w:cs="Arial"/>
          <w:lang w:val="en-US" w:eastAsia="es-ES_tradnl"/>
        </w:rPr>
        <w:t xml:space="preserve"> A, </w:t>
      </w:r>
      <w:proofErr w:type="spellStart"/>
      <w:r w:rsidRPr="005E5437">
        <w:rPr>
          <w:rFonts w:ascii="Arial" w:eastAsia="Times New Roman" w:hAnsi="Arial" w:cs="Arial"/>
          <w:lang w:val="en-US" w:eastAsia="es-ES_tradnl"/>
        </w:rPr>
        <w:t>Sudo</w:t>
      </w:r>
      <w:proofErr w:type="spellEnd"/>
      <w:r w:rsidRPr="005E5437">
        <w:rPr>
          <w:rFonts w:ascii="Arial" w:eastAsia="Times New Roman" w:hAnsi="Arial" w:cs="Arial"/>
          <w:lang w:val="en-US" w:eastAsia="es-ES_tradnl"/>
        </w:rPr>
        <w:t xml:space="preserve"> K, Shimomura A, et al. Bone marrow examination in patients with Ewing sarcoma/peripheral primitive neuroectodermal tumor without metastasis based on 18F-fluorodeoxyglucose positron emission tomography/computed tomography. </w:t>
      </w:r>
      <w:r w:rsidRPr="00832714">
        <w:rPr>
          <w:rFonts w:ascii="Arial" w:eastAsia="Times New Roman" w:hAnsi="Arial" w:cs="Arial"/>
          <w:lang w:val="en-US" w:eastAsia="es-ES_tradnl"/>
        </w:rPr>
        <w:t>Med Oncol</w:t>
      </w:r>
      <w:r w:rsidR="0066181A" w:rsidRPr="00832714">
        <w:rPr>
          <w:rFonts w:ascii="Arial" w:eastAsia="Times New Roman" w:hAnsi="Arial" w:cs="Arial"/>
          <w:lang w:val="en-US" w:eastAsia="es-ES_tradnl"/>
        </w:rPr>
        <w:t xml:space="preserve"> </w:t>
      </w:r>
      <w:r w:rsidRPr="00832714">
        <w:rPr>
          <w:rFonts w:ascii="Arial" w:eastAsia="Times New Roman" w:hAnsi="Arial" w:cs="Arial"/>
          <w:lang w:val="en-US" w:eastAsia="es-ES_tradnl"/>
        </w:rPr>
        <w:t>2019;36(7):58.</w:t>
      </w:r>
    </w:p>
    <w:p w14:paraId="6B90DFFC" w14:textId="0E793E11" w:rsidR="00A829EA" w:rsidRPr="00832714" w:rsidRDefault="00A829EA" w:rsidP="00A829EA">
      <w:pPr>
        <w:spacing w:line="360" w:lineRule="auto"/>
        <w:rPr>
          <w:rFonts w:ascii="Arial" w:eastAsia="Times New Roman" w:hAnsi="Arial" w:cs="Arial"/>
          <w:lang w:val="en-US" w:eastAsia="es-ES_tradnl"/>
        </w:rPr>
      </w:pPr>
      <w:r w:rsidRPr="00832714">
        <w:rPr>
          <w:rFonts w:ascii="Arial" w:eastAsia="Times New Roman" w:hAnsi="Arial" w:cs="Arial"/>
          <w:lang w:val="en-US" w:eastAsia="es-ES_tradnl"/>
        </w:rPr>
        <w:t xml:space="preserve">3. </w:t>
      </w:r>
      <w:proofErr w:type="spellStart"/>
      <w:r w:rsidRPr="00832714">
        <w:rPr>
          <w:rFonts w:ascii="Arial" w:eastAsia="Times New Roman" w:hAnsi="Arial" w:cs="Arial"/>
          <w:lang w:val="en-US" w:eastAsia="es-ES_tradnl"/>
        </w:rPr>
        <w:t>Ladenstein</w:t>
      </w:r>
      <w:proofErr w:type="spellEnd"/>
      <w:r w:rsidRPr="00832714">
        <w:rPr>
          <w:rFonts w:ascii="Arial" w:eastAsia="Times New Roman" w:hAnsi="Arial" w:cs="Arial"/>
          <w:lang w:val="en-US" w:eastAsia="es-ES_tradnl"/>
        </w:rPr>
        <w:t xml:space="preserve"> R, </w:t>
      </w:r>
      <w:proofErr w:type="spellStart"/>
      <w:r w:rsidRPr="00832714">
        <w:rPr>
          <w:rFonts w:ascii="Arial" w:eastAsia="Times New Roman" w:hAnsi="Arial" w:cs="Arial"/>
          <w:lang w:val="en-US" w:eastAsia="es-ES_tradnl"/>
        </w:rPr>
        <w:t>Pötschger</w:t>
      </w:r>
      <w:proofErr w:type="spellEnd"/>
      <w:r w:rsidRPr="00832714">
        <w:rPr>
          <w:rFonts w:ascii="Arial" w:eastAsia="Times New Roman" w:hAnsi="Arial" w:cs="Arial"/>
          <w:lang w:val="en-US" w:eastAsia="es-ES_tradnl"/>
        </w:rPr>
        <w:t xml:space="preserve"> U, Le </w:t>
      </w:r>
      <w:proofErr w:type="spellStart"/>
      <w:r w:rsidRPr="00832714">
        <w:rPr>
          <w:rFonts w:ascii="Arial" w:eastAsia="Times New Roman" w:hAnsi="Arial" w:cs="Arial"/>
          <w:lang w:val="en-US" w:eastAsia="es-ES_tradnl"/>
        </w:rPr>
        <w:t>Deley</w:t>
      </w:r>
      <w:proofErr w:type="spellEnd"/>
      <w:r w:rsidRPr="00832714">
        <w:rPr>
          <w:rFonts w:ascii="Arial" w:eastAsia="Times New Roman" w:hAnsi="Arial" w:cs="Arial"/>
          <w:lang w:val="en-US" w:eastAsia="es-ES_tradnl"/>
        </w:rPr>
        <w:t xml:space="preserve"> MC, Whelan J, </w:t>
      </w:r>
      <w:proofErr w:type="spellStart"/>
      <w:r w:rsidRPr="00832714">
        <w:rPr>
          <w:rFonts w:ascii="Arial" w:eastAsia="Times New Roman" w:hAnsi="Arial" w:cs="Arial"/>
          <w:lang w:val="en-US" w:eastAsia="es-ES_tradnl"/>
        </w:rPr>
        <w:t>Paulussen</w:t>
      </w:r>
      <w:proofErr w:type="spellEnd"/>
      <w:r w:rsidRPr="00832714">
        <w:rPr>
          <w:rFonts w:ascii="Arial" w:eastAsia="Times New Roman" w:hAnsi="Arial" w:cs="Arial"/>
          <w:lang w:val="en-US" w:eastAsia="es-ES_tradnl"/>
        </w:rPr>
        <w:t xml:space="preserve"> M, Oberlin O, et al. </w:t>
      </w:r>
      <w:r w:rsidRPr="005E5437">
        <w:rPr>
          <w:rFonts w:ascii="Arial" w:eastAsia="Times New Roman" w:hAnsi="Arial" w:cs="Arial"/>
          <w:lang w:val="en-US" w:eastAsia="es-ES_tradnl"/>
        </w:rPr>
        <w:t xml:space="preserve">Primary disseminated multifocal Ewing sarcoma: results of the Euro-EWING 99 trial. </w:t>
      </w:r>
      <w:r w:rsidRPr="00832714">
        <w:rPr>
          <w:rFonts w:ascii="Arial" w:eastAsia="Times New Roman" w:hAnsi="Arial" w:cs="Arial"/>
          <w:lang w:val="en-US" w:eastAsia="es-ES_tradnl"/>
        </w:rPr>
        <w:t>J Clin Oncol</w:t>
      </w:r>
      <w:r w:rsidR="0066181A" w:rsidRPr="00832714">
        <w:rPr>
          <w:rFonts w:ascii="Arial" w:eastAsia="Times New Roman" w:hAnsi="Arial" w:cs="Arial"/>
          <w:lang w:val="en-US" w:eastAsia="es-ES_tradnl"/>
        </w:rPr>
        <w:t xml:space="preserve"> </w:t>
      </w:r>
      <w:r w:rsidRPr="00832714">
        <w:rPr>
          <w:rFonts w:ascii="Arial" w:eastAsia="Times New Roman" w:hAnsi="Arial" w:cs="Arial"/>
          <w:lang w:val="en-US" w:eastAsia="es-ES_tradnl"/>
        </w:rPr>
        <w:t>2010;28(20):3284-91.</w:t>
      </w:r>
    </w:p>
    <w:p w14:paraId="2FEDC1E1" w14:textId="5C4EC07B" w:rsidR="00A829EA" w:rsidRPr="00832714" w:rsidRDefault="00A829EA" w:rsidP="00A829EA">
      <w:pPr>
        <w:spacing w:line="360" w:lineRule="auto"/>
        <w:rPr>
          <w:rFonts w:ascii="Arial" w:eastAsia="Times New Roman" w:hAnsi="Arial" w:cs="Arial"/>
          <w:lang w:val="en-US" w:eastAsia="es-ES_tradnl"/>
        </w:rPr>
      </w:pPr>
      <w:r w:rsidRPr="00832714">
        <w:rPr>
          <w:rFonts w:ascii="Arial" w:eastAsia="Times New Roman" w:hAnsi="Arial" w:cs="Arial"/>
          <w:lang w:val="en-US" w:eastAsia="es-ES_tradnl"/>
        </w:rPr>
        <w:t xml:space="preserve">4. </w:t>
      </w:r>
      <w:proofErr w:type="spellStart"/>
      <w:r w:rsidRPr="00832714">
        <w:rPr>
          <w:rFonts w:ascii="Arial" w:eastAsia="Times New Roman" w:hAnsi="Arial" w:cs="Arial"/>
          <w:lang w:val="en-US" w:eastAsia="es-ES_tradnl"/>
        </w:rPr>
        <w:t>Balamuth</w:t>
      </w:r>
      <w:proofErr w:type="spellEnd"/>
      <w:r w:rsidRPr="00832714">
        <w:rPr>
          <w:rFonts w:ascii="Arial" w:eastAsia="Times New Roman" w:hAnsi="Arial" w:cs="Arial"/>
          <w:lang w:val="en-US" w:eastAsia="es-ES_tradnl"/>
        </w:rPr>
        <w:t xml:space="preserve"> NJ, </w:t>
      </w:r>
      <w:proofErr w:type="spellStart"/>
      <w:r w:rsidRPr="00832714">
        <w:rPr>
          <w:rFonts w:ascii="Arial" w:eastAsia="Times New Roman" w:hAnsi="Arial" w:cs="Arial"/>
          <w:lang w:val="en-US" w:eastAsia="es-ES_tradnl"/>
        </w:rPr>
        <w:t>Womer</w:t>
      </w:r>
      <w:proofErr w:type="spellEnd"/>
      <w:r w:rsidRPr="00832714">
        <w:rPr>
          <w:rFonts w:ascii="Arial" w:eastAsia="Times New Roman" w:hAnsi="Arial" w:cs="Arial"/>
          <w:lang w:val="en-US" w:eastAsia="es-ES_tradnl"/>
        </w:rPr>
        <w:t xml:space="preserve"> RB. Ewing’s sarcoma. Lancet Oncol 2010;11(2):184-92.</w:t>
      </w:r>
    </w:p>
    <w:p w14:paraId="4F33ADFA" w14:textId="543B1243" w:rsidR="00A829EA" w:rsidRPr="00832714" w:rsidRDefault="00A829EA" w:rsidP="00A829EA">
      <w:pPr>
        <w:spacing w:line="360" w:lineRule="auto"/>
        <w:rPr>
          <w:rFonts w:ascii="Arial" w:eastAsia="Times New Roman" w:hAnsi="Arial" w:cs="Arial"/>
          <w:lang w:val="en-US" w:eastAsia="es-ES_tradnl"/>
        </w:rPr>
      </w:pPr>
      <w:r w:rsidRPr="005E5437">
        <w:rPr>
          <w:rFonts w:ascii="Arial" w:eastAsia="Times New Roman" w:hAnsi="Arial" w:cs="Arial"/>
          <w:lang w:val="en-US" w:eastAsia="es-ES_tradnl"/>
        </w:rPr>
        <w:t>5. Newman EN, Jones RL, Hawkins DS. An evaluation of [F-18]-</w:t>
      </w:r>
      <w:proofErr w:type="spellStart"/>
      <w:r w:rsidRPr="005E5437">
        <w:rPr>
          <w:rFonts w:ascii="Arial" w:eastAsia="Times New Roman" w:hAnsi="Arial" w:cs="Arial"/>
          <w:lang w:val="en-US" w:eastAsia="es-ES_tradnl"/>
        </w:rPr>
        <w:t>fluorodeoxy</w:t>
      </w:r>
      <w:proofErr w:type="spellEnd"/>
      <w:r w:rsidRPr="005E5437">
        <w:rPr>
          <w:rFonts w:ascii="Arial" w:eastAsia="Times New Roman" w:hAnsi="Arial" w:cs="Arial"/>
          <w:lang w:val="en-US" w:eastAsia="es-ES_tradnl"/>
        </w:rPr>
        <w:t xml:space="preserve">-D-glucose positron emission tomography, bone scan, and bone marrow aspiration/biopsy as staging investigations in Ewing sarcoma. </w:t>
      </w:r>
      <w:proofErr w:type="spellStart"/>
      <w:r w:rsidRPr="00832714">
        <w:rPr>
          <w:rFonts w:ascii="Arial" w:eastAsia="Times New Roman" w:hAnsi="Arial" w:cs="Arial"/>
          <w:lang w:val="en-US" w:eastAsia="es-ES_tradnl"/>
        </w:rPr>
        <w:t>Pediatr</w:t>
      </w:r>
      <w:proofErr w:type="spellEnd"/>
      <w:r w:rsidRPr="00832714">
        <w:rPr>
          <w:rFonts w:ascii="Arial" w:eastAsia="Times New Roman" w:hAnsi="Arial" w:cs="Arial"/>
          <w:lang w:val="en-US" w:eastAsia="es-ES_tradnl"/>
        </w:rPr>
        <w:t xml:space="preserve"> Blood Cancer 2013;60(7):1113-7.</w:t>
      </w:r>
    </w:p>
    <w:p w14:paraId="0CA6367A" w14:textId="36042C62" w:rsidR="00A829EA" w:rsidRPr="005E5437" w:rsidRDefault="00A829EA" w:rsidP="00A829EA">
      <w:pPr>
        <w:spacing w:line="360" w:lineRule="auto"/>
        <w:rPr>
          <w:rFonts w:ascii="Arial" w:eastAsia="Times New Roman" w:hAnsi="Arial" w:cs="Arial"/>
          <w:lang w:val="en-US" w:eastAsia="es-ES_tradnl"/>
        </w:rPr>
      </w:pPr>
      <w:r w:rsidRPr="00832714">
        <w:rPr>
          <w:rFonts w:ascii="Arial" w:eastAsia="Times New Roman" w:hAnsi="Arial" w:cs="Arial"/>
          <w:lang w:val="en-US" w:eastAsia="es-ES_tradnl"/>
        </w:rPr>
        <w:t xml:space="preserve">6. </w:t>
      </w:r>
      <w:proofErr w:type="spellStart"/>
      <w:r w:rsidRPr="00832714">
        <w:rPr>
          <w:rFonts w:ascii="Arial" w:eastAsia="Times New Roman" w:hAnsi="Arial" w:cs="Arial"/>
          <w:lang w:val="en-US" w:eastAsia="es-ES_tradnl"/>
        </w:rPr>
        <w:t>Quartuccio</w:t>
      </w:r>
      <w:proofErr w:type="spellEnd"/>
      <w:r w:rsidRPr="00832714">
        <w:rPr>
          <w:rFonts w:ascii="Arial" w:eastAsia="Times New Roman" w:hAnsi="Arial" w:cs="Arial"/>
          <w:lang w:val="en-US" w:eastAsia="es-ES_tradnl"/>
        </w:rPr>
        <w:t xml:space="preserve"> N, Fox J, Kuk D, Wexler LH, </w:t>
      </w:r>
      <w:proofErr w:type="spellStart"/>
      <w:r w:rsidRPr="00832714">
        <w:rPr>
          <w:rFonts w:ascii="Arial" w:eastAsia="Times New Roman" w:hAnsi="Arial" w:cs="Arial"/>
          <w:lang w:val="en-US" w:eastAsia="es-ES_tradnl"/>
        </w:rPr>
        <w:t>Baldari</w:t>
      </w:r>
      <w:proofErr w:type="spellEnd"/>
      <w:r w:rsidRPr="00832714">
        <w:rPr>
          <w:rFonts w:ascii="Arial" w:eastAsia="Times New Roman" w:hAnsi="Arial" w:cs="Arial"/>
          <w:lang w:val="en-US" w:eastAsia="es-ES_tradnl"/>
        </w:rPr>
        <w:t xml:space="preserve"> S, </w:t>
      </w:r>
      <w:proofErr w:type="spellStart"/>
      <w:r w:rsidRPr="00832714">
        <w:rPr>
          <w:rFonts w:ascii="Arial" w:eastAsia="Times New Roman" w:hAnsi="Arial" w:cs="Arial"/>
          <w:lang w:val="en-US" w:eastAsia="es-ES_tradnl"/>
        </w:rPr>
        <w:t>Cistaro</w:t>
      </w:r>
      <w:proofErr w:type="spellEnd"/>
      <w:r w:rsidRPr="00832714">
        <w:rPr>
          <w:rFonts w:ascii="Arial" w:eastAsia="Times New Roman" w:hAnsi="Arial" w:cs="Arial"/>
          <w:lang w:val="en-US" w:eastAsia="es-ES_tradnl"/>
        </w:rPr>
        <w:t xml:space="preserve"> A, et al. </w:t>
      </w:r>
      <w:r w:rsidRPr="005E5437">
        <w:rPr>
          <w:rFonts w:ascii="Arial" w:eastAsia="Times New Roman" w:hAnsi="Arial" w:cs="Arial"/>
          <w:lang w:val="en-US" w:eastAsia="es-ES_tradnl"/>
        </w:rPr>
        <w:t>Pediatric Bone Sarcoma: Diagnostic Performance of 18F-FDG PET/CT Versus Conventional Imaging for Initial Staging and Follow-Up. American Journal of Roentgenology.</w:t>
      </w:r>
      <w:r w:rsidR="0066181A">
        <w:rPr>
          <w:rFonts w:ascii="Arial" w:eastAsia="Times New Roman" w:hAnsi="Arial" w:cs="Arial"/>
          <w:lang w:val="en-US" w:eastAsia="es-ES_tradnl"/>
        </w:rPr>
        <w:t xml:space="preserve"> </w:t>
      </w:r>
      <w:r w:rsidRPr="005E5437">
        <w:rPr>
          <w:rFonts w:ascii="Arial" w:eastAsia="Times New Roman" w:hAnsi="Arial" w:cs="Arial"/>
          <w:lang w:val="en-US" w:eastAsia="es-ES_tradnl"/>
        </w:rPr>
        <w:t>2014;204(1):153-60.</w:t>
      </w:r>
    </w:p>
    <w:p w14:paraId="4B0232F7" w14:textId="3D56C8B2" w:rsidR="005A0D94" w:rsidRPr="005A0D94" w:rsidRDefault="00A829EA" w:rsidP="005A0D94">
      <w:pPr>
        <w:spacing w:line="360" w:lineRule="auto"/>
        <w:rPr>
          <w:rFonts w:ascii="Arial" w:eastAsia="Times New Roman" w:hAnsi="Arial" w:cs="Arial"/>
          <w:lang w:eastAsia="es-ES_tradnl"/>
        </w:rPr>
      </w:pPr>
      <w:r w:rsidRPr="005E5437">
        <w:rPr>
          <w:rFonts w:ascii="Arial" w:eastAsia="Times New Roman" w:hAnsi="Arial" w:cs="Arial"/>
          <w:lang w:val="en-US" w:eastAsia="es-ES_tradnl"/>
        </w:rPr>
        <w:t xml:space="preserve">7. </w:t>
      </w:r>
      <w:proofErr w:type="spellStart"/>
      <w:r w:rsidRPr="005E5437">
        <w:rPr>
          <w:rFonts w:ascii="Arial" w:eastAsia="Times New Roman" w:hAnsi="Arial" w:cs="Arial"/>
          <w:lang w:val="en-US" w:eastAsia="es-ES_tradnl"/>
        </w:rPr>
        <w:t>Kasalak</w:t>
      </w:r>
      <w:proofErr w:type="spellEnd"/>
      <w:r w:rsidRPr="005E5437">
        <w:rPr>
          <w:rFonts w:ascii="Arial" w:eastAsia="Times New Roman" w:hAnsi="Arial" w:cs="Arial"/>
          <w:lang w:val="en-US" w:eastAsia="es-ES_tradnl"/>
        </w:rPr>
        <w:t xml:space="preserve"> Ö, </w:t>
      </w:r>
      <w:proofErr w:type="spellStart"/>
      <w:r w:rsidRPr="005E5437">
        <w:rPr>
          <w:rFonts w:ascii="Arial" w:eastAsia="Times New Roman" w:hAnsi="Arial" w:cs="Arial"/>
          <w:lang w:val="en-US" w:eastAsia="es-ES_tradnl"/>
        </w:rPr>
        <w:t>Glaudemans</w:t>
      </w:r>
      <w:proofErr w:type="spellEnd"/>
      <w:r w:rsidRPr="005E5437">
        <w:rPr>
          <w:rFonts w:ascii="Arial" w:eastAsia="Times New Roman" w:hAnsi="Arial" w:cs="Arial"/>
          <w:lang w:val="en-US" w:eastAsia="es-ES_tradnl"/>
        </w:rPr>
        <w:t xml:space="preserve"> AWJM, </w:t>
      </w:r>
      <w:proofErr w:type="spellStart"/>
      <w:r w:rsidRPr="005E5437">
        <w:rPr>
          <w:rFonts w:ascii="Arial" w:eastAsia="Times New Roman" w:hAnsi="Arial" w:cs="Arial"/>
          <w:lang w:val="en-US" w:eastAsia="es-ES_tradnl"/>
        </w:rPr>
        <w:t>Overbosch</w:t>
      </w:r>
      <w:proofErr w:type="spellEnd"/>
      <w:r w:rsidRPr="005E5437">
        <w:rPr>
          <w:rFonts w:ascii="Arial" w:eastAsia="Times New Roman" w:hAnsi="Arial" w:cs="Arial"/>
          <w:lang w:val="en-US" w:eastAsia="es-ES_tradnl"/>
        </w:rPr>
        <w:t xml:space="preserve"> J, </w:t>
      </w:r>
      <w:proofErr w:type="spellStart"/>
      <w:r w:rsidRPr="005E5437">
        <w:rPr>
          <w:rFonts w:ascii="Arial" w:eastAsia="Times New Roman" w:hAnsi="Arial" w:cs="Arial"/>
          <w:lang w:val="en-US" w:eastAsia="es-ES_tradnl"/>
        </w:rPr>
        <w:t>Jutte</w:t>
      </w:r>
      <w:proofErr w:type="spellEnd"/>
      <w:r w:rsidRPr="005E5437">
        <w:rPr>
          <w:rFonts w:ascii="Arial" w:eastAsia="Times New Roman" w:hAnsi="Arial" w:cs="Arial"/>
          <w:lang w:val="en-US" w:eastAsia="es-ES_tradnl"/>
        </w:rPr>
        <w:t xml:space="preserve"> PC, </w:t>
      </w:r>
      <w:proofErr w:type="spellStart"/>
      <w:r w:rsidRPr="005E5437">
        <w:rPr>
          <w:rFonts w:ascii="Arial" w:eastAsia="Times New Roman" w:hAnsi="Arial" w:cs="Arial"/>
          <w:lang w:val="en-US" w:eastAsia="es-ES_tradnl"/>
        </w:rPr>
        <w:t>Kwee</w:t>
      </w:r>
      <w:proofErr w:type="spellEnd"/>
      <w:r w:rsidRPr="005E5437">
        <w:rPr>
          <w:rFonts w:ascii="Arial" w:eastAsia="Times New Roman" w:hAnsi="Arial" w:cs="Arial"/>
          <w:lang w:val="en-US" w:eastAsia="es-ES_tradnl"/>
        </w:rPr>
        <w:t xml:space="preserve"> TC. Can FDG-PET/CT replace blind bone marrow biopsy of the posterior iliac crest in Ewing sarcoma? </w:t>
      </w:r>
      <w:r w:rsidRPr="005A0D94">
        <w:rPr>
          <w:rFonts w:ascii="Arial" w:eastAsia="Times New Roman" w:hAnsi="Arial" w:cs="Arial"/>
          <w:lang w:eastAsia="es-ES_tradnl"/>
        </w:rPr>
        <w:t>Skeletal Radiol</w:t>
      </w:r>
      <w:r w:rsidR="0066181A">
        <w:rPr>
          <w:rFonts w:ascii="Arial" w:eastAsia="Times New Roman" w:hAnsi="Arial" w:cs="Arial"/>
          <w:lang w:eastAsia="es-ES_tradnl"/>
        </w:rPr>
        <w:t xml:space="preserve"> </w:t>
      </w:r>
      <w:r w:rsidRPr="005A0D94">
        <w:rPr>
          <w:rFonts w:ascii="Arial" w:eastAsia="Times New Roman" w:hAnsi="Arial" w:cs="Arial"/>
          <w:lang w:eastAsia="es-ES_tradnl"/>
        </w:rPr>
        <w:t>2018;47(3):363-7.</w:t>
      </w:r>
    </w:p>
    <w:p w14:paraId="15C484A4" w14:textId="3C18B5B4" w:rsidR="005A0D94" w:rsidRPr="005A0D94" w:rsidRDefault="005A0D94" w:rsidP="00A829EA">
      <w:pPr>
        <w:spacing w:line="360" w:lineRule="auto"/>
        <w:rPr>
          <w:rFonts w:ascii="Times New Roman" w:eastAsia="Times New Roman" w:hAnsi="Times New Roman" w:cs="Times New Roman"/>
          <w:lang w:eastAsia="es-ES_tradnl"/>
        </w:rPr>
      </w:pPr>
      <w:r w:rsidRPr="005A0D94">
        <w:rPr>
          <w:rFonts w:ascii="Arial" w:eastAsia="Times New Roman" w:hAnsi="Arial" w:cs="Arial"/>
          <w:lang w:eastAsia="es-ES_tradnl"/>
        </w:rPr>
        <w:t>8.</w:t>
      </w:r>
      <w:r>
        <w:rPr>
          <w:rFonts w:ascii="Arial" w:eastAsia="Times New Roman" w:hAnsi="Arial" w:cs="Arial"/>
          <w:lang w:eastAsia="es-ES_tradnl"/>
        </w:rPr>
        <w:t xml:space="preserve"> </w:t>
      </w:r>
      <w:r w:rsidRPr="00832714">
        <w:rPr>
          <w:rFonts w:ascii="Arial" w:eastAsia="Times New Roman" w:hAnsi="Arial" w:cs="Arial"/>
          <w:lang w:eastAsia="es-ES_tradnl"/>
        </w:rPr>
        <w:t xml:space="preserve">Grünewald TGP, Cidre-Aranaz F, Surdez D, Tomazou EM, de Álava E, Kovar H, et al. </w:t>
      </w:r>
      <w:r w:rsidRPr="005A0D94">
        <w:rPr>
          <w:rFonts w:ascii="Arial" w:eastAsia="Times New Roman" w:hAnsi="Arial" w:cs="Arial"/>
          <w:lang w:val="en-US" w:eastAsia="es-ES_tradnl"/>
        </w:rPr>
        <w:t>Ewing sarcoma. Nat Rev Dis Primers</w:t>
      </w:r>
      <w:r w:rsidR="0066181A">
        <w:rPr>
          <w:rFonts w:ascii="Arial" w:eastAsia="Times New Roman" w:hAnsi="Arial" w:cs="Arial"/>
          <w:lang w:val="en-US" w:eastAsia="es-ES_tradnl"/>
        </w:rPr>
        <w:t xml:space="preserve"> </w:t>
      </w:r>
      <w:r w:rsidRPr="005A0D94">
        <w:rPr>
          <w:rFonts w:ascii="Arial" w:eastAsia="Times New Roman" w:hAnsi="Arial" w:cs="Arial"/>
          <w:lang w:val="en-US" w:eastAsia="es-ES_tradnl"/>
        </w:rPr>
        <w:t>2018;4(1):5.</w:t>
      </w:r>
    </w:p>
    <w:p w14:paraId="7C2CC2DE" w14:textId="19915819" w:rsidR="00A829EA" w:rsidRPr="005E5437" w:rsidRDefault="005A0D94" w:rsidP="00A829EA">
      <w:pPr>
        <w:spacing w:line="360" w:lineRule="auto"/>
        <w:rPr>
          <w:rFonts w:ascii="Arial" w:eastAsia="Times New Roman" w:hAnsi="Arial" w:cs="Arial"/>
          <w:lang w:eastAsia="es-ES_tradnl"/>
        </w:rPr>
      </w:pPr>
      <w:r>
        <w:rPr>
          <w:rFonts w:ascii="Arial" w:eastAsia="Times New Roman" w:hAnsi="Arial" w:cs="Arial"/>
          <w:lang w:eastAsia="es-ES_tradnl"/>
        </w:rPr>
        <w:t>9</w:t>
      </w:r>
      <w:r w:rsidR="00A829EA" w:rsidRPr="005A0D94">
        <w:rPr>
          <w:rFonts w:ascii="Arial" w:eastAsia="Times New Roman" w:hAnsi="Arial" w:cs="Arial"/>
          <w:lang w:eastAsia="es-ES_tradnl"/>
        </w:rPr>
        <w:t xml:space="preserve">. Hawkins DS, Schuetze SM, Butrynski JE, Rajendran JG, Vernon CB, Conrad EU, et al. </w:t>
      </w:r>
      <w:r w:rsidR="00A829EA" w:rsidRPr="005E5437">
        <w:rPr>
          <w:rFonts w:ascii="Arial" w:eastAsia="Times New Roman" w:hAnsi="Arial" w:cs="Arial"/>
          <w:lang w:val="en-US" w:eastAsia="es-ES_tradnl"/>
        </w:rPr>
        <w:t xml:space="preserve">[18F]Fluorodeoxyglucose positron emission tomography predicts outcome for Ewing sarcoma family of tumors. </w:t>
      </w:r>
      <w:r w:rsidR="00A829EA" w:rsidRPr="005E5437">
        <w:rPr>
          <w:rFonts w:ascii="Arial" w:eastAsia="Times New Roman" w:hAnsi="Arial" w:cs="Arial"/>
          <w:lang w:eastAsia="es-ES_tradnl"/>
        </w:rPr>
        <w:t>J Clin Oncol 2005;23(34):8828-34.</w:t>
      </w:r>
    </w:p>
    <w:p w14:paraId="528F7651" w14:textId="51493CEC" w:rsidR="00BB2749" w:rsidRPr="00611CAC" w:rsidRDefault="00BB2749" w:rsidP="008A70CB">
      <w:pPr>
        <w:spacing w:line="360" w:lineRule="auto"/>
        <w:rPr>
          <w:rFonts w:ascii="Arial" w:hAnsi="Arial" w:cs="Arial"/>
        </w:rPr>
      </w:pPr>
    </w:p>
    <w:p w14:paraId="01B303CD" w14:textId="4BA58FB0" w:rsidR="00611CAC" w:rsidRPr="00611CAC" w:rsidRDefault="00611CAC" w:rsidP="008A70CB">
      <w:pPr>
        <w:spacing w:line="360" w:lineRule="auto"/>
        <w:rPr>
          <w:rFonts w:ascii="Arial" w:hAnsi="Arial" w:cs="Arial"/>
        </w:rPr>
      </w:pPr>
      <w:bookmarkStart w:id="0" w:name="_GoBack"/>
      <w:bookmarkEnd w:id="0"/>
    </w:p>
    <w:sectPr w:rsidR="00611CAC" w:rsidRPr="00611CAC" w:rsidSect="00AA3A56">
      <w:headerReference w:type="even" r:id="rId8"/>
      <w:headerReference w:type="default" r:id="rId9"/>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91F47" w14:textId="77777777" w:rsidR="00054F3D" w:rsidRDefault="00054F3D" w:rsidP="003D532C">
      <w:r>
        <w:separator/>
      </w:r>
    </w:p>
  </w:endnote>
  <w:endnote w:type="continuationSeparator" w:id="0">
    <w:p w14:paraId="24FE20F3" w14:textId="77777777" w:rsidR="00054F3D" w:rsidRDefault="00054F3D" w:rsidP="003D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544E7" w14:textId="77777777" w:rsidR="00054F3D" w:rsidRDefault="00054F3D" w:rsidP="003D532C">
      <w:r>
        <w:separator/>
      </w:r>
    </w:p>
  </w:footnote>
  <w:footnote w:type="continuationSeparator" w:id="0">
    <w:p w14:paraId="1BC75AA2" w14:textId="77777777" w:rsidR="00054F3D" w:rsidRDefault="00054F3D" w:rsidP="003D5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133234521"/>
      <w:docPartObj>
        <w:docPartGallery w:val="Page Numbers (Top of Page)"/>
        <w:docPartUnique/>
      </w:docPartObj>
    </w:sdtPr>
    <w:sdtEndPr>
      <w:rPr>
        <w:rStyle w:val="Nmerodepgina"/>
      </w:rPr>
    </w:sdtEndPr>
    <w:sdtContent>
      <w:p w14:paraId="5C3EF95A" w14:textId="132C855C" w:rsidR="003D532C" w:rsidRDefault="003D532C" w:rsidP="00BF64B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FE195DD" w14:textId="77777777" w:rsidR="003D532C" w:rsidRDefault="003D532C" w:rsidP="003D532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928160533"/>
      <w:docPartObj>
        <w:docPartGallery w:val="Page Numbers (Top of Page)"/>
        <w:docPartUnique/>
      </w:docPartObj>
    </w:sdtPr>
    <w:sdtEndPr>
      <w:rPr>
        <w:rStyle w:val="Nmerodepgina"/>
      </w:rPr>
    </w:sdtEndPr>
    <w:sdtContent>
      <w:p w14:paraId="3CF13E31" w14:textId="3A2CD3C8" w:rsidR="003D532C" w:rsidRDefault="003D532C" w:rsidP="00BF64B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222EC">
          <w:rPr>
            <w:rStyle w:val="Nmerodepgina"/>
            <w:noProof/>
          </w:rPr>
          <w:t>8</w:t>
        </w:r>
        <w:r>
          <w:rPr>
            <w:rStyle w:val="Nmerodepgina"/>
          </w:rPr>
          <w:fldChar w:fldCharType="end"/>
        </w:r>
      </w:p>
    </w:sdtContent>
  </w:sdt>
  <w:p w14:paraId="620034AA" w14:textId="77777777" w:rsidR="003D532C" w:rsidRDefault="003D532C" w:rsidP="003D532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2E98"/>
    <w:multiLevelType w:val="hybridMultilevel"/>
    <w:tmpl w:val="B0D690F4"/>
    <w:lvl w:ilvl="0" w:tplc="8B26BDC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FBE17CD"/>
    <w:multiLevelType w:val="hybridMultilevel"/>
    <w:tmpl w:val="5D8C539A"/>
    <w:lvl w:ilvl="0" w:tplc="7B3E9C1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44D5CD7"/>
    <w:multiLevelType w:val="hybridMultilevel"/>
    <w:tmpl w:val="339C62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605561C0"/>
    <w:multiLevelType w:val="hybridMultilevel"/>
    <w:tmpl w:val="FD1A6F9E"/>
    <w:lvl w:ilvl="0" w:tplc="ED9E4AF4">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A9"/>
    <w:rsid w:val="00001248"/>
    <w:rsid w:val="00001690"/>
    <w:rsid w:val="00011469"/>
    <w:rsid w:val="00054F3D"/>
    <w:rsid w:val="0005558E"/>
    <w:rsid w:val="00062C11"/>
    <w:rsid w:val="00062DDC"/>
    <w:rsid w:val="00066E68"/>
    <w:rsid w:val="00067CAC"/>
    <w:rsid w:val="000911AB"/>
    <w:rsid w:val="000916FF"/>
    <w:rsid w:val="000973FC"/>
    <w:rsid w:val="000A1C3E"/>
    <w:rsid w:val="000A1DC9"/>
    <w:rsid w:val="000A355A"/>
    <w:rsid w:val="000B3263"/>
    <w:rsid w:val="000B7FB7"/>
    <w:rsid w:val="000C018F"/>
    <w:rsid w:val="000D5CAE"/>
    <w:rsid w:val="000E668C"/>
    <w:rsid w:val="000E7CC0"/>
    <w:rsid w:val="000F47EE"/>
    <w:rsid w:val="0010640D"/>
    <w:rsid w:val="0011289A"/>
    <w:rsid w:val="00113942"/>
    <w:rsid w:val="00116B49"/>
    <w:rsid w:val="0012090B"/>
    <w:rsid w:val="00124121"/>
    <w:rsid w:val="00126841"/>
    <w:rsid w:val="0012697F"/>
    <w:rsid w:val="001431CE"/>
    <w:rsid w:val="00143EC4"/>
    <w:rsid w:val="00151369"/>
    <w:rsid w:val="00153809"/>
    <w:rsid w:val="001638CA"/>
    <w:rsid w:val="00165C00"/>
    <w:rsid w:val="00190E40"/>
    <w:rsid w:val="001939D2"/>
    <w:rsid w:val="001B1085"/>
    <w:rsid w:val="001B2F8D"/>
    <w:rsid w:val="001D0EE7"/>
    <w:rsid w:val="001D6709"/>
    <w:rsid w:val="001E1C50"/>
    <w:rsid w:val="001E2A33"/>
    <w:rsid w:val="001F482E"/>
    <w:rsid w:val="00217BA0"/>
    <w:rsid w:val="002221B8"/>
    <w:rsid w:val="00227907"/>
    <w:rsid w:val="00234FDF"/>
    <w:rsid w:val="00241257"/>
    <w:rsid w:val="00242EF5"/>
    <w:rsid w:val="0024772B"/>
    <w:rsid w:val="00247B3D"/>
    <w:rsid w:val="002557F6"/>
    <w:rsid w:val="00256E45"/>
    <w:rsid w:val="00271429"/>
    <w:rsid w:val="002767F5"/>
    <w:rsid w:val="0027698C"/>
    <w:rsid w:val="00281D1B"/>
    <w:rsid w:val="002933F4"/>
    <w:rsid w:val="002A4ECE"/>
    <w:rsid w:val="002B3AAE"/>
    <w:rsid w:val="002B48FF"/>
    <w:rsid w:val="002B51F6"/>
    <w:rsid w:val="002C4E6F"/>
    <w:rsid w:val="002C5B0D"/>
    <w:rsid w:val="002D5E46"/>
    <w:rsid w:val="002E10C5"/>
    <w:rsid w:val="002F750D"/>
    <w:rsid w:val="00304A96"/>
    <w:rsid w:val="00320A6D"/>
    <w:rsid w:val="00321CF6"/>
    <w:rsid w:val="00325B71"/>
    <w:rsid w:val="00326110"/>
    <w:rsid w:val="00330ED9"/>
    <w:rsid w:val="00342982"/>
    <w:rsid w:val="00342D03"/>
    <w:rsid w:val="00344A59"/>
    <w:rsid w:val="00350297"/>
    <w:rsid w:val="0035155D"/>
    <w:rsid w:val="00354A10"/>
    <w:rsid w:val="003778DF"/>
    <w:rsid w:val="003869BB"/>
    <w:rsid w:val="00393F8E"/>
    <w:rsid w:val="00395375"/>
    <w:rsid w:val="00395F75"/>
    <w:rsid w:val="003A3BA9"/>
    <w:rsid w:val="003A7757"/>
    <w:rsid w:val="003B786C"/>
    <w:rsid w:val="003C328B"/>
    <w:rsid w:val="003D532C"/>
    <w:rsid w:val="003E2809"/>
    <w:rsid w:val="003E5C34"/>
    <w:rsid w:val="00412F43"/>
    <w:rsid w:val="004139BA"/>
    <w:rsid w:val="004222EC"/>
    <w:rsid w:val="00423E41"/>
    <w:rsid w:val="00444E2B"/>
    <w:rsid w:val="00445269"/>
    <w:rsid w:val="00465E5E"/>
    <w:rsid w:val="0048739D"/>
    <w:rsid w:val="004977E5"/>
    <w:rsid w:val="004A4719"/>
    <w:rsid w:val="004A7574"/>
    <w:rsid w:val="004B5C6E"/>
    <w:rsid w:val="004B6A8C"/>
    <w:rsid w:val="004E353B"/>
    <w:rsid w:val="004E5ACE"/>
    <w:rsid w:val="004F5516"/>
    <w:rsid w:val="00505604"/>
    <w:rsid w:val="0052305B"/>
    <w:rsid w:val="00523E39"/>
    <w:rsid w:val="005267DD"/>
    <w:rsid w:val="00532F52"/>
    <w:rsid w:val="00532F97"/>
    <w:rsid w:val="00537856"/>
    <w:rsid w:val="00542C40"/>
    <w:rsid w:val="00547E4B"/>
    <w:rsid w:val="005561EE"/>
    <w:rsid w:val="005604B0"/>
    <w:rsid w:val="00560569"/>
    <w:rsid w:val="0057086B"/>
    <w:rsid w:val="00570BFD"/>
    <w:rsid w:val="005853CA"/>
    <w:rsid w:val="00585CE5"/>
    <w:rsid w:val="00586070"/>
    <w:rsid w:val="00590C54"/>
    <w:rsid w:val="00591C56"/>
    <w:rsid w:val="00594BE8"/>
    <w:rsid w:val="005A0D94"/>
    <w:rsid w:val="005A6A26"/>
    <w:rsid w:val="005B47E3"/>
    <w:rsid w:val="005B5B9B"/>
    <w:rsid w:val="005C0583"/>
    <w:rsid w:val="005C47A1"/>
    <w:rsid w:val="005C761D"/>
    <w:rsid w:val="005C7A19"/>
    <w:rsid w:val="005D5A2C"/>
    <w:rsid w:val="005E0AB5"/>
    <w:rsid w:val="005E19F6"/>
    <w:rsid w:val="00605725"/>
    <w:rsid w:val="00611CAC"/>
    <w:rsid w:val="00622365"/>
    <w:rsid w:val="00627B9E"/>
    <w:rsid w:val="00632E02"/>
    <w:rsid w:val="00642A40"/>
    <w:rsid w:val="006575EF"/>
    <w:rsid w:val="0066181A"/>
    <w:rsid w:val="00666114"/>
    <w:rsid w:val="00667DC3"/>
    <w:rsid w:val="00672318"/>
    <w:rsid w:val="006742FF"/>
    <w:rsid w:val="00680A4C"/>
    <w:rsid w:val="00681891"/>
    <w:rsid w:val="0068547B"/>
    <w:rsid w:val="00690C67"/>
    <w:rsid w:val="006B0676"/>
    <w:rsid w:val="006C0FC4"/>
    <w:rsid w:val="006D03BF"/>
    <w:rsid w:val="006D03EE"/>
    <w:rsid w:val="006D7591"/>
    <w:rsid w:val="006F0026"/>
    <w:rsid w:val="006F0EFD"/>
    <w:rsid w:val="00702414"/>
    <w:rsid w:val="00704CBD"/>
    <w:rsid w:val="00707D6E"/>
    <w:rsid w:val="00711508"/>
    <w:rsid w:val="00714BF0"/>
    <w:rsid w:val="00720220"/>
    <w:rsid w:val="007216AD"/>
    <w:rsid w:val="00740A37"/>
    <w:rsid w:val="00742217"/>
    <w:rsid w:val="00751CFA"/>
    <w:rsid w:val="00752E33"/>
    <w:rsid w:val="007534C5"/>
    <w:rsid w:val="00762011"/>
    <w:rsid w:val="00767504"/>
    <w:rsid w:val="00777892"/>
    <w:rsid w:val="00777D74"/>
    <w:rsid w:val="0078261C"/>
    <w:rsid w:val="00782E6F"/>
    <w:rsid w:val="00787F49"/>
    <w:rsid w:val="00790369"/>
    <w:rsid w:val="007A6DAD"/>
    <w:rsid w:val="007A7BD7"/>
    <w:rsid w:val="007C0ACE"/>
    <w:rsid w:val="007D39A9"/>
    <w:rsid w:val="007D5BBD"/>
    <w:rsid w:val="007E0C91"/>
    <w:rsid w:val="007E1768"/>
    <w:rsid w:val="007E4670"/>
    <w:rsid w:val="007F0E9A"/>
    <w:rsid w:val="007F33A5"/>
    <w:rsid w:val="007F61AA"/>
    <w:rsid w:val="007F63E1"/>
    <w:rsid w:val="007F7B7F"/>
    <w:rsid w:val="00810E70"/>
    <w:rsid w:val="00813706"/>
    <w:rsid w:val="008148AD"/>
    <w:rsid w:val="00827943"/>
    <w:rsid w:val="00831D65"/>
    <w:rsid w:val="00832714"/>
    <w:rsid w:val="00833EF2"/>
    <w:rsid w:val="00843570"/>
    <w:rsid w:val="00863EBD"/>
    <w:rsid w:val="0086533C"/>
    <w:rsid w:val="00866429"/>
    <w:rsid w:val="00870B71"/>
    <w:rsid w:val="008779AE"/>
    <w:rsid w:val="00897FE9"/>
    <w:rsid w:val="008A70CB"/>
    <w:rsid w:val="008B18CC"/>
    <w:rsid w:val="008B72C2"/>
    <w:rsid w:val="008C0CB4"/>
    <w:rsid w:val="008C5D55"/>
    <w:rsid w:val="008C7567"/>
    <w:rsid w:val="008D1DA7"/>
    <w:rsid w:val="008E6D12"/>
    <w:rsid w:val="008F7678"/>
    <w:rsid w:val="0091274B"/>
    <w:rsid w:val="00922E91"/>
    <w:rsid w:val="00923BCE"/>
    <w:rsid w:val="00930894"/>
    <w:rsid w:val="009459C8"/>
    <w:rsid w:val="0096210F"/>
    <w:rsid w:val="00971FF2"/>
    <w:rsid w:val="00980177"/>
    <w:rsid w:val="009B1BBC"/>
    <w:rsid w:val="009C0250"/>
    <w:rsid w:val="009C4B6A"/>
    <w:rsid w:val="009D11F8"/>
    <w:rsid w:val="009D6F0D"/>
    <w:rsid w:val="009E00A7"/>
    <w:rsid w:val="009E2CBE"/>
    <w:rsid w:val="009F4FFF"/>
    <w:rsid w:val="009F53B7"/>
    <w:rsid w:val="00A14B8E"/>
    <w:rsid w:val="00A14B94"/>
    <w:rsid w:val="00A22675"/>
    <w:rsid w:val="00A2708D"/>
    <w:rsid w:val="00A35BE6"/>
    <w:rsid w:val="00A44DB4"/>
    <w:rsid w:val="00A61A4F"/>
    <w:rsid w:val="00A75AC8"/>
    <w:rsid w:val="00A829EA"/>
    <w:rsid w:val="00A82B90"/>
    <w:rsid w:val="00A87BFE"/>
    <w:rsid w:val="00AA3A56"/>
    <w:rsid w:val="00AB1D78"/>
    <w:rsid w:val="00AB7023"/>
    <w:rsid w:val="00AC4CD3"/>
    <w:rsid w:val="00AC6862"/>
    <w:rsid w:val="00AE1A45"/>
    <w:rsid w:val="00AE291A"/>
    <w:rsid w:val="00AE7437"/>
    <w:rsid w:val="00AF3F82"/>
    <w:rsid w:val="00AF4CE8"/>
    <w:rsid w:val="00AF5949"/>
    <w:rsid w:val="00AF624A"/>
    <w:rsid w:val="00B27487"/>
    <w:rsid w:val="00B37B57"/>
    <w:rsid w:val="00B53D45"/>
    <w:rsid w:val="00B56536"/>
    <w:rsid w:val="00B56AEB"/>
    <w:rsid w:val="00B56AF2"/>
    <w:rsid w:val="00B60C07"/>
    <w:rsid w:val="00B7727A"/>
    <w:rsid w:val="00B806A0"/>
    <w:rsid w:val="00B84190"/>
    <w:rsid w:val="00B867A0"/>
    <w:rsid w:val="00B90491"/>
    <w:rsid w:val="00B92444"/>
    <w:rsid w:val="00B9261C"/>
    <w:rsid w:val="00B93C8B"/>
    <w:rsid w:val="00B9631C"/>
    <w:rsid w:val="00B96FD3"/>
    <w:rsid w:val="00B9750E"/>
    <w:rsid w:val="00BA31E3"/>
    <w:rsid w:val="00BB2749"/>
    <w:rsid w:val="00BD00C7"/>
    <w:rsid w:val="00BD2553"/>
    <w:rsid w:val="00BD2AC9"/>
    <w:rsid w:val="00BD6E2F"/>
    <w:rsid w:val="00BE7F0D"/>
    <w:rsid w:val="00BF1499"/>
    <w:rsid w:val="00BF27D1"/>
    <w:rsid w:val="00BF4A44"/>
    <w:rsid w:val="00BF4E08"/>
    <w:rsid w:val="00BF5A60"/>
    <w:rsid w:val="00BF7525"/>
    <w:rsid w:val="00C00B25"/>
    <w:rsid w:val="00C1107B"/>
    <w:rsid w:val="00C148A4"/>
    <w:rsid w:val="00C26CC9"/>
    <w:rsid w:val="00C3013B"/>
    <w:rsid w:val="00C30280"/>
    <w:rsid w:val="00C378DC"/>
    <w:rsid w:val="00C414A2"/>
    <w:rsid w:val="00C4539F"/>
    <w:rsid w:val="00C50310"/>
    <w:rsid w:val="00C52587"/>
    <w:rsid w:val="00C53426"/>
    <w:rsid w:val="00C54210"/>
    <w:rsid w:val="00C552DB"/>
    <w:rsid w:val="00C75AFB"/>
    <w:rsid w:val="00C76576"/>
    <w:rsid w:val="00C80074"/>
    <w:rsid w:val="00C81861"/>
    <w:rsid w:val="00C878E0"/>
    <w:rsid w:val="00CB0FC1"/>
    <w:rsid w:val="00CC4713"/>
    <w:rsid w:val="00CC4BE7"/>
    <w:rsid w:val="00CD1886"/>
    <w:rsid w:val="00CE51C1"/>
    <w:rsid w:val="00CF0389"/>
    <w:rsid w:val="00CF6442"/>
    <w:rsid w:val="00D006F7"/>
    <w:rsid w:val="00D00D9C"/>
    <w:rsid w:val="00D0667E"/>
    <w:rsid w:val="00D101D7"/>
    <w:rsid w:val="00D1208C"/>
    <w:rsid w:val="00D30A2E"/>
    <w:rsid w:val="00D349EF"/>
    <w:rsid w:val="00D44F72"/>
    <w:rsid w:val="00D4558C"/>
    <w:rsid w:val="00D62A5A"/>
    <w:rsid w:val="00D654AE"/>
    <w:rsid w:val="00D74CE7"/>
    <w:rsid w:val="00D74D6A"/>
    <w:rsid w:val="00D83BAA"/>
    <w:rsid w:val="00D8654D"/>
    <w:rsid w:val="00D96004"/>
    <w:rsid w:val="00DC30DE"/>
    <w:rsid w:val="00DD2D1C"/>
    <w:rsid w:val="00DE0D5A"/>
    <w:rsid w:val="00DF161F"/>
    <w:rsid w:val="00DF4302"/>
    <w:rsid w:val="00E05E15"/>
    <w:rsid w:val="00E14CF4"/>
    <w:rsid w:val="00E26B42"/>
    <w:rsid w:val="00E348CF"/>
    <w:rsid w:val="00E4668D"/>
    <w:rsid w:val="00E47024"/>
    <w:rsid w:val="00E51E3D"/>
    <w:rsid w:val="00E60B33"/>
    <w:rsid w:val="00E72E0E"/>
    <w:rsid w:val="00E775F1"/>
    <w:rsid w:val="00E80642"/>
    <w:rsid w:val="00E83B75"/>
    <w:rsid w:val="00EA315A"/>
    <w:rsid w:val="00EA4A94"/>
    <w:rsid w:val="00EA5DFB"/>
    <w:rsid w:val="00EC6EE4"/>
    <w:rsid w:val="00ED35D3"/>
    <w:rsid w:val="00ED3D32"/>
    <w:rsid w:val="00ED526E"/>
    <w:rsid w:val="00ED765D"/>
    <w:rsid w:val="00ED776E"/>
    <w:rsid w:val="00EE4D9F"/>
    <w:rsid w:val="00EF1D60"/>
    <w:rsid w:val="00EF513E"/>
    <w:rsid w:val="00EF652C"/>
    <w:rsid w:val="00EF6AC1"/>
    <w:rsid w:val="00EF7CC4"/>
    <w:rsid w:val="00F06F61"/>
    <w:rsid w:val="00F1070D"/>
    <w:rsid w:val="00F1429C"/>
    <w:rsid w:val="00F34428"/>
    <w:rsid w:val="00F42C47"/>
    <w:rsid w:val="00F44701"/>
    <w:rsid w:val="00F5488E"/>
    <w:rsid w:val="00F70269"/>
    <w:rsid w:val="00F7424C"/>
    <w:rsid w:val="00F848ED"/>
    <w:rsid w:val="00F85970"/>
    <w:rsid w:val="00F9439E"/>
    <w:rsid w:val="00FA00EA"/>
    <w:rsid w:val="00FA4904"/>
    <w:rsid w:val="00FA61BD"/>
    <w:rsid w:val="00FA762E"/>
    <w:rsid w:val="00FA76B2"/>
    <w:rsid w:val="00FB29E1"/>
    <w:rsid w:val="00FB4E3D"/>
    <w:rsid w:val="00FB7841"/>
    <w:rsid w:val="00FC669A"/>
    <w:rsid w:val="00FC66DE"/>
    <w:rsid w:val="00FD0AF4"/>
    <w:rsid w:val="00FD3245"/>
    <w:rsid w:val="00FD5C0A"/>
    <w:rsid w:val="00FE1BB3"/>
    <w:rsid w:val="00FE30DB"/>
    <w:rsid w:val="00FF0B78"/>
    <w:rsid w:val="00FF153C"/>
    <w:rsid w:val="00FF33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5516"/>
    <w:rPr>
      <w:color w:val="0563C1" w:themeColor="hyperlink"/>
      <w:u w:val="single"/>
    </w:rPr>
  </w:style>
  <w:style w:type="paragraph" w:styleId="Prrafodelista">
    <w:name w:val="List Paragraph"/>
    <w:basedOn w:val="Normal"/>
    <w:uiPriority w:val="34"/>
    <w:qFormat/>
    <w:rsid w:val="003E5C34"/>
    <w:pPr>
      <w:ind w:left="720"/>
      <w:contextualSpacing/>
    </w:pPr>
  </w:style>
  <w:style w:type="paragraph" w:styleId="Encabezado">
    <w:name w:val="header"/>
    <w:basedOn w:val="Normal"/>
    <w:link w:val="EncabezadoCar"/>
    <w:uiPriority w:val="99"/>
    <w:unhideWhenUsed/>
    <w:rsid w:val="003D532C"/>
    <w:pPr>
      <w:tabs>
        <w:tab w:val="center" w:pos="4419"/>
        <w:tab w:val="right" w:pos="8838"/>
      </w:tabs>
    </w:pPr>
  </w:style>
  <w:style w:type="character" w:customStyle="1" w:styleId="EncabezadoCar">
    <w:name w:val="Encabezado Car"/>
    <w:basedOn w:val="Fuentedeprrafopredeter"/>
    <w:link w:val="Encabezado"/>
    <w:uiPriority w:val="99"/>
    <w:rsid w:val="003D532C"/>
  </w:style>
  <w:style w:type="character" w:styleId="Nmerodepgina">
    <w:name w:val="page number"/>
    <w:basedOn w:val="Fuentedeprrafopredeter"/>
    <w:uiPriority w:val="99"/>
    <w:semiHidden/>
    <w:unhideWhenUsed/>
    <w:rsid w:val="003D53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5516"/>
    <w:rPr>
      <w:color w:val="0563C1" w:themeColor="hyperlink"/>
      <w:u w:val="single"/>
    </w:rPr>
  </w:style>
  <w:style w:type="paragraph" w:styleId="Prrafodelista">
    <w:name w:val="List Paragraph"/>
    <w:basedOn w:val="Normal"/>
    <w:uiPriority w:val="34"/>
    <w:qFormat/>
    <w:rsid w:val="003E5C34"/>
    <w:pPr>
      <w:ind w:left="720"/>
      <w:contextualSpacing/>
    </w:pPr>
  </w:style>
  <w:style w:type="paragraph" w:styleId="Encabezado">
    <w:name w:val="header"/>
    <w:basedOn w:val="Normal"/>
    <w:link w:val="EncabezadoCar"/>
    <w:uiPriority w:val="99"/>
    <w:unhideWhenUsed/>
    <w:rsid w:val="003D532C"/>
    <w:pPr>
      <w:tabs>
        <w:tab w:val="center" w:pos="4419"/>
        <w:tab w:val="right" w:pos="8838"/>
      </w:tabs>
    </w:pPr>
  </w:style>
  <w:style w:type="character" w:customStyle="1" w:styleId="EncabezadoCar">
    <w:name w:val="Encabezado Car"/>
    <w:basedOn w:val="Fuentedeprrafopredeter"/>
    <w:link w:val="Encabezado"/>
    <w:uiPriority w:val="99"/>
    <w:rsid w:val="003D532C"/>
  </w:style>
  <w:style w:type="character" w:styleId="Nmerodepgina">
    <w:name w:val="page number"/>
    <w:basedOn w:val="Fuentedeprrafopredeter"/>
    <w:uiPriority w:val="99"/>
    <w:semiHidden/>
    <w:unhideWhenUsed/>
    <w:rsid w:val="003D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3271">
      <w:bodyDiv w:val="1"/>
      <w:marLeft w:val="0"/>
      <w:marRight w:val="0"/>
      <w:marTop w:val="0"/>
      <w:marBottom w:val="0"/>
      <w:divBdr>
        <w:top w:val="none" w:sz="0" w:space="0" w:color="auto"/>
        <w:left w:val="none" w:sz="0" w:space="0" w:color="auto"/>
        <w:bottom w:val="none" w:sz="0" w:space="0" w:color="auto"/>
        <w:right w:val="none" w:sz="0" w:space="0" w:color="auto"/>
      </w:divBdr>
      <w:divsChild>
        <w:div w:id="557597424">
          <w:marLeft w:val="0"/>
          <w:marRight w:val="0"/>
          <w:marTop w:val="0"/>
          <w:marBottom w:val="0"/>
          <w:divBdr>
            <w:top w:val="none" w:sz="0" w:space="0" w:color="auto"/>
            <w:left w:val="none" w:sz="0" w:space="0" w:color="auto"/>
            <w:bottom w:val="none" w:sz="0" w:space="0" w:color="auto"/>
            <w:right w:val="none" w:sz="0" w:space="0" w:color="auto"/>
          </w:divBdr>
          <w:divsChild>
            <w:div w:id="835849771">
              <w:marLeft w:val="0"/>
              <w:marRight w:val="0"/>
              <w:marTop w:val="0"/>
              <w:marBottom w:val="0"/>
              <w:divBdr>
                <w:top w:val="none" w:sz="0" w:space="0" w:color="auto"/>
                <w:left w:val="none" w:sz="0" w:space="0" w:color="auto"/>
                <w:bottom w:val="none" w:sz="0" w:space="0" w:color="auto"/>
                <w:right w:val="none" w:sz="0" w:space="0" w:color="auto"/>
              </w:divBdr>
              <w:divsChild>
                <w:div w:id="214650810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4995930">
      <w:bodyDiv w:val="1"/>
      <w:marLeft w:val="0"/>
      <w:marRight w:val="0"/>
      <w:marTop w:val="0"/>
      <w:marBottom w:val="0"/>
      <w:divBdr>
        <w:top w:val="none" w:sz="0" w:space="0" w:color="auto"/>
        <w:left w:val="none" w:sz="0" w:space="0" w:color="auto"/>
        <w:bottom w:val="none" w:sz="0" w:space="0" w:color="auto"/>
        <w:right w:val="none" w:sz="0" w:space="0" w:color="auto"/>
      </w:divBdr>
      <w:divsChild>
        <w:div w:id="8609949">
          <w:marLeft w:val="0"/>
          <w:marRight w:val="0"/>
          <w:marTop w:val="0"/>
          <w:marBottom w:val="0"/>
          <w:divBdr>
            <w:top w:val="none" w:sz="0" w:space="0" w:color="auto"/>
            <w:left w:val="none" w:sz="0" w:space="0" w:color="auto"/>
            <w:bottom w:val="none" w:sz="0" w:space="0" w:color="auto"/>
            <w:right w:val="none" w:sz="0" w:space="0" w:color="auto"/>
          </w:divBdr>
          <w:divsChild>
            <w:div w:id="1069890140">
              <w:marLeft w:val="0"/>
              <w:marRight w:val="0"/>
              <w:marTop w:val="0"/>
              <w:marBottom w:val="0"/>
              <w:divBdr>
                <w:top w:val="none" w:sz="0" w:space="0" w:color="auto"/>
                <w:left w:val="none" w:sz="0" w:space="0" w:color="auto"/>
                <w:bottom w:val="none" w:sz="0" w:space="0" w:color="auto"/>
                <w:right w:val="none" w:sz="0" w:space="0" w:color="auto"/>
              </w:divBdr>
              <w:divsChild>
                <w:div w:id="48551628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4005929">
      <w:bodyDiv w:val="1"/>
      <w:marLeft w:val="0"/>
      <w:marRight w:val="0"/>
      <w:marTop w:val="0"/>
      <w:marBottom w:val="0"/>
      <w:divBdr>
        <w:top w:val="none" w:sz="0" w:space="0" w:color="auto"/>
        <w:left w:val="none" w:sz="0" w:space="0" w:color="auto"/>
        <w:bottom w:val="none" w:sz="0" w:space="0" w:color="auto"/>
        <w:right w:val="none" w:sz="0" w:space="0" w:color="auto"/>
      </w:divBdr>
      <w:divsChild>
        <w:div w:id="111558717">
          <w:marLeft w:val="0"/>
          <w:marRight w:val="0"/>
          <w:marTop w:val="0"/>
          <w:marBottom w:val="0"/>
          <w:divBdr>
            <w:top w:val="none" w:sz="0" w:space="0" w:color="auto"/>
            <w:left w:val="none" w:sz="0" w:space="0" w:color="auto"/>
            <w:bottom w:val="none" w:sz="0" w:space="0" w:color="auto"/>
            <w:right w:val="none" w:sz="0" w:space="0" w:color="auto"/>
          </w:divBdr>
          <w:divsChild>
            <w:div w:id="19209458">
              <w:marLeft w:val="0"/>
              <w:marRight w:val="0"/>
              <w:marTop w:val="0"/>
              <w:marBottom w:val="0"/>
              <w:divBdr>
                <w:top w:val="none" w:sz="0" w:space="0" w:color="auto"/>
                <w:left w:val="none" w:sz="0" w:space="0" w:color="auto"/>
                <w:bottom w:val="none" w:sz="0" w:space="0" w:color="auto"/>
                <w:right w:val="none" w:sz="0" w:space="0" w:color="auto"/>
              </w:divBdr>
              <w:divsChild>
                <w:div w:id="5424020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87129403">
      <w:bodyDiv w:val="1"/>
      <w:marLeft w:val="0"/>
      <w:marRight w:val="0"/>
      <w:marTop w:val="0"/>
      <w:marBottom w:val="0"/>
      <w:divBdr>
        <w:top w:val="none" w:sz="0" w:space="0" w:color="auto"/>
        <w:left w:val="none" w:sz="0" w:space="0" w:color="auto"/>
        <w:bottom w:val="none" w:sz="0" w:space="0" w:color="auto"/>
        <w:right w:val="none" w:sz="0" w:space="0" w:color="auto"/>
      </w:divBdr>
      <w:divsChild>
        <w:div w:id="948464548">
          <w:marLeft w:val="0"/>
          <w:marRight w:val="0"/>
          <w:marTop w:val="0"/>
          <w:marBottom w:val="0"/>
          <w:divBdr>
            <w:top w:val="none" w:sz="0" w:space="0" w:color="auto"/>
            <w:left w:val="none" w:sz="0" w:space="0" w:color="auto"/>
            <w:bottom w:val="none" w:sz="0" w:space="0" w:color="auto"/>
            <w:right w:val="none" w:sz="0" w:space="0" w:color="auto"/>
          </w:divBdr>
          <w:divsChild>
            <w:div w:id="1836652397">
              <w:marLeft w:val="0"/>
              <w:marRight w:val="0"/>
              <w:marTop w:val="0"/>
              <w:marBottom w:val="0"/>
              <w:divBdr>
                <w:top w:val="none" w:sz="0" w:space="0" w:color="auto"/>
                <w:left w:val="none" w:sz="0" w:space="0" w:color="auto"/>
                <w:bottom w:val="none" w:sz="0" w:space="0" w:color="auto"/>
                <w:right w:val="none" w:sz="0" w:space="0" w:color="auto"/>
              </w:divBdr>
              <w:divsChild>
                <w:div w:id="3623705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53748058">
      <w:bodyDiv w:val="1"/>
      <w:marLeft w:val="0"/>
      <w:marRight w:val="0"/>
      <w:marTop w:val="0"/>
      <w:marBottom w:val="0"/>
      <w:divBdr>
        <w:top w:val="none" w:sz="0" w:space="0" w:color="auto"/>
        <w:left w:val="none" w:sz="0" w:space="0" w:color="auto"/>
        <w:bottom w:val="none" w:sz="0" w:space="0" w:color="auto"/>
        <w:right w:val="none" w:sz="0" w:space="0" w:color="auto"/>
      </w:divBdr>
      <w:divsChild>
        <w:div w:id="124811547">
          <w:marLeft w:val="0"/>
          <w:marRight w:val="0"/>
          <w:marTop w:val="0"/>
          <w:marBottom w:val="0"/>
          <w:divBdr>
            <w:top w:val="none" w:sz="0" w:space="0" w:color="auto"/>
            <w:left w:val="none" w:sz="0" w:space="0" w:color="auto"/>
            <w:bottom w:val="none" w:sz="0" w:space="0" w:color="auto"/>
            <w:right w:val="none" w:sz="0" w:space="0" w:color="auto"/>
          </w:divBdr>
          <w:divsChild>
            <w:div w:id="1849441321">
              <w:marLeft w:val="0"/>
              <w:marRight w:val="0"/>
              <w:marTop w:val="0"/>
              <w:marBottom w:val="0"/>
              <w:divBdr>
                <w:top w:val="none" w:sz="0" w:space="0" w:color="auto"/>
                <w:left w:val="none" w:sz="0" w:space="0" w:color="auto"/>
                <w:bottom w:val="none" w:sz="0" w:space="0" w:color="auto"/>
                <w:right w:val="none" w:sz="0" w:space="0" w:color="auto"/>
              </w:divBdr>
              <w:divsChild>
                <w:div w:id="138413716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53823292">
      <w:bodyDiv w:val="1"/>
      <w:marLeft w:val="0"/>
      <w:marRight w:val="0"/>
      <w:marTop w:val="0"/>
      <w:marBottom w:val="0"/>
      <w:divBdr>
        <w:top w:val="none" w:sz="0" w:space="0" w:color="auto"/>
        <w:left w:val="none" w:sz="0" w:space="0" w:color="auto"/>
        <w:bottom w:val="none" w:sz="0" w:space="0" w:color="auto"/>
        <w:right w:val="none" w:sz="0" w:space="0" w:color="auto"/>
      </w:divBdr>
      <w:divsChild>
        <w:div w:id="847906197">
          <w:marLeft w:val="0"/>
          <w:marRight w:val="0"/>
          <w:marTop w:val="0"/>
          <w:marBottom w:val="0"/>
          <w:divBdr>
            <w:top w:val="none" w:sz="0" w:space="0" w:color="auto"/>
            <w:left w:val="none" w:sz="0" w:space="0" w:color="auto"/>
            <w:bottom w:val="none" w:sz="0" w:space="0" w:color="auto"/>
            <w:right w:val="none" w:sz="0" w:space="0" w:color="auto"/>
          </w:divBdr>
          <w:divsChild>
            <w:div w:id="523905855">
              <w:marLeft w:val="0"/>
              <w:marRight w:val="0"/>
              <w:marTop w:val="0"/>
              <w:marBottom w:val="0"/>
              <w:divBdr>
                <w:top w:val="none" w:sz="0" w:space="0" w:color="auto"/>
                <w:left w:val="none" w:sz="0" w:space="0" w:color="auto"/>
                <w:bottom w:val="none" w:sz="0" w:space="0" w:color="auto"/>
                <w:right w:val="none" w:sz="0" w:space="0" w:color="auto"/>
              </w:divBdr>
              <w:divsChild>
                <w:div w:id="116720953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72700960">
      <w:bodyDiv w:val="1"/>
      <w:marLeft w:val="0"/>
      <w:marRight w:val="0"/>
      <w:marTop w:val="0"/>
      <w:marBottom w:val="0"/>
      <w:divBdr>
        <w:top w:val="none" w:sz="0" w:space="0" w:color="auto"/>
        <w:left w:val="none" w:sz="0" w:space="0" w:color="auto"/>
        <w:bottom w:val="none" w:sz="0" w:space="0" w:color="auto"/>
        <w:right w:val="none" w:sz="0" w:space="0" w:color="auto"/>
      </w:divBdr>
      <w:divsChild>
        <w:div w:id="1389569661">
          <w:marLeft w:val="0"/>
          <w:marRight w:val="0"/>
          <w:marTop w:val="0"/>
          <w:marBottom w:val="0"/>
          <w:divBdr>
            <w:top w:val="none" w:sz="0" w:space="0" w:color="auto"/>
            <w:left w:val="none" w:sz="0" w:space="0" w:color="auto"/>
            <w:bottom w:val="none" w:sz="0" w:space="0" w:color="auto"/>
            <w:right w:val="none" w:sz="0" w:space="0" w:color="auto"/>
          </w:divBdr>
          <w:divsChild>
            <w:div w:id="1109543269">
              <w:marLeft w:val="0"/>
              <w:marRight w:val="0"/>
              <w:marTop w:val="0"/>
              <w:marBottom w:val="0"/>
              <w:divBdr>
                <w:top w:val="none" w:sz="0" w:space="0" w:color="auto"/>
                <w:left w:val="none" w:sz="0" w:space="0" w:color="auto"/>
                <w:bottom w:val="none" w:sz="0" w:space="0" w:color="auto"/>
                <w:right w:val="none" w:sz="0" w:space="0" w:color="auto"/>
              </w:divBdr>
              <w:divsChild>
                <w:div w:id="102828992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89960635">
      <w:bodyDiv w:val="1"/>
      <w:marLeft w:val="0"/>
      <w:marRight w:val="0"/>
      <w:marTop w:val="0"/>
      <w:marBottom w:val="0"/>
      <w:divBdr>
        <w:top w:val="none" w:sz="0" w:space="0" w:color="auto"/>
        <w:left w:val="none" w:sz="0" w:space="0" w:color="auto"/>
        <w:bottom w:val="none" w:sz="0" w:space="0" w:color="auto"/>
        <w:right w:val="none" w:sz="0" w:space="0" w:color="auto"/>
      </w:divBdr>
      <w:divsChild>
        <w:div w:id="470178557">
          <w:marLeft w:val="0"/>
          <w:marRight w:val="0"/>
          <w:marTop w:val="0"/>
          <w:marBottom w:val="0"/>
          <w:divBdr>
            <w:top w:val="none" w:sz="0" w:space="0" w:color="auto"/>
            <w:left w:val="none" w:sz="0" w:space="0" w:color="auto"/>
            <w:bottom w:val="none" w:sz="0" w:space="0" w:color="auto"/>
            <w:right w:val="none" w:sz="0" w:space="0" w:color="auto"/>
          </w:divBdr>
          <w:divsChild>
            <w:div w:id="1717776498">
              <w:marLeft w:val="0"/>
              <w:marRight w:val="0"/>
              <w:marTop w:val="0"/>
              <w:marBottom w:val="0"/>
              <w:divBdr>
                <w:top w:val="none" w:sz="0" w:space="0" w:color="auto"/>
                <w:left w:val="none" w:sz="0" w:space="0" w:color="auto"/>
                <w:bottom w:val="none" w:sz="0" w:space="0" w:color="auto"/>
                <w:right w:val="none" w:sz="0" w:space="0" w:color="auto"/>
              </w:divBdr>
              <w:divsChild>
                <w:div w:id="197586565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24682397">
      <w:bodyDiv w:val="1"/>
      <w:marLeft w:val="0"/>
      <w:marRight w:val="0"/>
      <w:marTop w:val="0"/>
      <w:marBottom w:val="0"/>
      <w:divBdr>
        <w:top w:val="none" w:sz="0" w:space="0" w:color="auto"/>
        <w:left w:val="none" w:sz="0" w:space="0" w:color="auto"/>
        <w:bottom w:val="none" w:sz="0" w:space="0" w:color="auto"/>
        <w:right w:val="none" w:sz="0" w:space="0" w:color="auto"/>
      </w:divBdr>
      <w:divsChild>
        <w:div w:id="381905122">
          <w:marLeft w:val="0"/>
          <w:marRight w:val="0"/>
          <w:marTop w:val="0"/>
          <w:marBottom w:val="0"/>
          <w:divBdr>
            <w:top w:val="none" w:sz="0" w:space="0" w:color="auto"/>
            <w:left w:val="none" w:sz="0" w:space="0" w:color="auto"/>
            <w:bottom w:val="none" w:sz="0" w:space="0" w:color="auto"/>
            <w:right w:val="none" w:sz="0" w:space="0" w:color="auto"/>
          </w:divBdr>
          <w:divsChild>
            <w:div w:id="186867135">
              <w:marLeft w:val="0"/>
              <w:marRight w:val="0"/>
              <w:marTop w:val="0"/>
              <w:marBottom w:val="0"/>
              <w:divBdr>
                <w:top w:val="none" w:sz="0" w:space="0" w:color="auto"/>
                <w:left w:val="none" w:sz="0" w:space="0" w:color="auto"/>
                <w:bottom w:val="none" w:sz="0" w:space="0" w:color="auto"/>
                <w:right w:val="none" w:sz="0" w:space="0" w:color="auto"/>
              </w:divBdr>
              <w:divsChild>
                <w:div w:id="45209328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46913521">
      <w:bodyDiv w:val="1"/>
      <w:marLeft w:val="0"/>
      <w:marRight w:val="0"/>
      <w:marTop w:val="0"/>
      <w:marBottom w:val="0"/>
      <w:divBdr>
        <w:top w:val="none" w:sz="0" w:space="0" w:color="auto"/>
        <w:left w:val="none" w:sz="0" w:space="0" w:color="auto"/>
        <w:bottom w:val="none" w:sz="0" w:space="0" w:color="auto"/>
        <w:right w:val="none" w:sz="0" w:space="0" w:color="auto"/>
      </w:divBdr>
      <w:divsChild>
        <w:div w:id="1939870186">
          <w:marLeft w:val="0"/>
          <w:marRight w:val="0"/>
          <w:marTop w:val="0"/>
          <w:marBottom w:val="0"/>
          <w:divBdr>
            <w:top w:val="none" w:sz="0" w:space="0" w:color="auto"/>
            <w:left w:val="none" w:sz="0" w:space="0" w:color="auto"/>
            <w:bottom w:val="none" w:sz="0" w:space="0" w:color="auto"/>
            <w:right w:val="none" w:sz="0" w:space="0" w:color="auto"/>
          </w:divBdr>
          <w:divsChild>
            <w:div w:id="959801127">
              <w:marLeft w:val="0"/>
              <w:marRight w:val="0"/>
              <w:marTop w:val="0"/>
              <w:marBottom w:val="0"/>
              <w:divBdr>
                <w:top w:val="none" w:sz="0" w:space="0" w:color="auto"/>
                <w:left w:val="none" w:sz="0" w:space="0" w:color="auto"/>
                <w:bottom w:val="none" w:sz="0" w:space="0" w:color="auto"/>
                <w:right w:val="none" w:sz="0" w:space="0" w:color="auto"/>
              </w:divBdr>
              <w:divsChild>
                <w:div w:id="14106626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96650413">
      <w:bodyDiv w:val="1"/>
      <w:marLeft w:val="0"/>
      <w:marRight w:val="0"/>
      <w:marTop w:val="0"/>
      <w:marBottom w:val="0"/>
      <w:divBdr>
        <w:top w:val="none" w:sz="0" w:space="0" w:color="auto"/>
        <w:left w:val="none" w:sz="0" w:space="0" w:color="auto"/>
        <w:bottom w:val="none" w:sz="0" w:space="0" w:color="auto"/>
        <w:right w:val="none" w:sz="0" w:space="0" w:color="auto"/>
      </w:divBdr>
      <w:divsChild>
        <w:div w:id="1426538549">
          <w:marLeft w:val="0"/>
          <w:marRight w:val="0"/>
          <w:marTop w:val="0"/>
          <w:marBottom w:val="0"/>
          <w:divBdr>
            <w:top w:val="none" w:sz="0" w:space="0" w:color="auto"/>
            <w:left w:val="none" w:sz="0" w:space="0" w:color="auto"/>
            <w:bottom w:val="none" w:sz="0" w:space="0" w:color="auto"/>
            <w:right w:val="none" w:sz="0" w:space="0" w:color="auto"/>
          </w:divBdr>
          <w:divsChild>
            <w:div w:id="1649048613">
              <w:marLeft w:val="0"/>
              <w:marRight w:val="0"/>
              <w:marTop w:val="0"/>
              <w:marBottom w:val="0"/>
              <w:divBdr>
                <w:top w:val="none" w:sz="0" w:space="0" w:color="auto"/>
                <w:left w:val="none" w:sz="0" w:space="0" w:color="auto"/>
                <w:bottom w:val="none" w:sz="0" w:space="0" w:color="auto"/>
                <w:right w:val="none" w:sz="0" w:space="0" w:color="auto"/>
              </w:divBdr>
              <w:divsChild>
                <w:div w:id="52101602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27024253">
      <w:bodyDiv w:val="1"/>
      <w:marLeft w:val="0"/>
      <w:marRight w:val="0"/>
      <w:marTop w:val="0"/>
      <w:marBottom w:val="0"/>
      <w:divBdr>
        <w:top w:val="none" w:sz="0" w:space="0" w:color="auto"/>
        <w:left w:val="none" w:sz="0" w:space="0" w:color="auto"/>
        <w:bottom w:val="none" w:sz="0" w:space="0" w:color="auto"/>
        <w:right w:val="none" w:sz="0" w:space="0" w:color="auto"/>
      </w:divBdr>
      <w:divsChild>
        <w:div w:id="409471309">
          <w:marLeft w:val="0"/>
          <w:marRight w:val="0"/>
          <w:marTop w:val="0"/>
          <w:marBottom w:val="0"/>
          <w:divBdr>
            <w:top w:val="none" w:sz="0" w:space="0" w:color="auto"/>
            <w:left w:val="none" w:sz="0" w:space="0" w:color="auto"/>
            <w:bottom w:val="none" w:sz="0" w:space="0" w:color="auto"/>
            <w:right w:val="none" w:sz="0" w:space="0" w:color="auto"/>
          </w:divBdr>
          <w:divsChild>
            <w:div w:id="671489527">
              <w:marLeft w:val="0"/>
              <w:marRight w:val="0"/>
              <w:marTop w:val="0"/>
              <w:marBottom w:val="0"/>
              <w:divBdr>
                <w:top w:val="none" w:sz="0" w:space="0" w:color="auto"/>
                <w:left w:val="none" w:sz="0" w:space="0" w:color="auto"/>
                <w:bottom w:val="none" w:sz="0" w:space="0" w:color="auto"/>
                <w:right w:val="none" w:sz="0" w:space="0" w:color="auto"/>
              </w:divBdr>
              <w:divsChild>
                <w:div w:id="44769952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40444689">
      <w:bodyDiv w:val="1"/>
      <w:marLeft w:val="0"/>
      <w:marRight w:val="0"/>
      <w:marTop w:val="0"/>
      <w:marBottom w:val="0"/>
      <w:divBdr>
        <w:top w:val="none" w:sz="0" w:space="0" w:color="auto"/>
        <w:left w:val="none" w:sz="0" w:space="0" w:color="auto"/>
        <w:bottom w:val="none" w:sz="0" w:space="0" w:color="auto"/>
        <w:right w:val="none" w:sz="0" w:space="0" w:color="auto"/>
      </w:divBdr>
    </w:div>
    <w:div w:id="1765107241">
      <w:bodyDiv w:val="1"/>
      <w:marLeft w:val="0"/>
      <w:marRight w:val="0"/>
      <w:marTop w:val="0"/>
      <w:marBottom w:val="0"/>
      <w:divBdr>
        <w:top w:val="none" w:sz="0" w:space="0" w:color="auto"/>
        <w:left w:val="none" w:sz="0" w:space="0" w:color="auto"/>
        <w:bottom w:val="none" w:sz="0" w:space="0" w:color="auto"/>
        <w:right w:val="none" w:sz="0" w:space="0" w:color="auto"/>
      </w:divBdr>
      <w:divsChild>
        <w:div w:id="2050950130">
          <w:marLeft w:val="0"/>
          <w:marRight w:val="0"/>
          <w:marTop w:val="0"/>
          <w:marBottom w:val="0"/>
          <w:divBdr>
            <w:top w:val="none" w:sz="0" w:space="0" w:color="auto"/>
            <w:left w:val="none" w:sz="0" w:space="0" w:color="auto"/>
            <w:bottom w:val="none" w:sz="0" w:space="0" w:color="auto"/>
            <w:right w:val="none" w:sz="0" w:space="0" w:color="auto"/>
          </w:divBdr>
          <w:divsChild>
            <w:div w:id="1153908447">
              <w:marLeft w:val="0"/>
              <w:marRight w:val="0"/>
              <w:marTop w:val="0"/>
              <w:marBottom w:val="0"/>
              <w:divBdr>
                <w:top w:val="none" w:sz="0" w:space="0" w:color="auto"/>
                <w:left w:val="none" w:sz="0" w:space="0" w:color="auto"/>
                <w:bottom w:val="none" w:sz="0" w:space="0" w:color="auto"/>
                <w:right w:val="none" w:sz="0" w:space="0" w:color="auto"/>
              </w:divBdr>
              <w:divsChild>
                <w:div w:id="10276679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1717</Words>
  <Characters>9449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Barahona</dc:creator>
  <cp:lastModifiedBy>usuario</cp:lastModifiedBy>
  <cp:revision>2</cp:revision>
  <dcterms:created xsi:type="dcterms:W3CDTF">2020-08-20T14:48:00Z</dcterms:created>
  <dcterms:modified xsi:type="dcterms:W3CDTF">2020-08-20T14:48:00Z</dcterms:modified>
</cp:coreProperties>
</file>