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380391" w14:textId="77777777" w:rsidR="0010353F" w:rsidRPr="005F1594" w:rsidRDefault="0010353F" w:rsidP="002075F6">
      <w:pPr>
        <w:pStyle w:val="Sinespaciado"/>
        <w:spacing w:line="360" w:lineRule="auto"/>
        <w:rPr>
          <w:rFonts w:ascii="Times New Roman" w:hAnsi="Times New Roman" w:cs="Times New Roman"/>
          <w:sz w:val="24"/>
          <w:szCs w:val="24"/>
          <w:lang w:val="es-AR"/>
        </w:rPr>
      </w:pPr>
      <w:bookmarkStart w:id="0" w:name="_GoBack"/>
      <w:bookmarkEnd w:id="0"/>
      <w:r w:rsidRPr="005F1594">
        <w:rPr>
          <w:rFonts w:ascii="Times New Roman" w:hAnsi="Times New Roman" w:cs="Times New Roman"/>
          <w:sz w:val="24"/>
          <w:szCs w:val="24"/>
          <w:lang w:val="es-AR"/>
        </w:rPr>
        <w:t>Tipo de artículo: Artículo de investigación</w:t>
      </w:r>
    </w:p>
    <w:p w14:paraId="24EDB376" w14:textId="77777777" w:rsidR="0010353F" w:rsidRPr="005F1594" w:rsidRDefault="0010353F" w:rsidP="002075F6">
      <w:pPr>
        <w:pStyle w:val="Sinespaciado"/>
        <w:spacing w:line="360" w:lineRule="auto"/>
        <w:rPr>
          <w:rFonts w:ascii="Times New Roman" w:hAnsi="Times New Roman" w:cs="Times New Roman"/>
          <w:sz w:val="24"/>
          <w:szCs w:val="24"/>
          <w:lang w:val="es-AR"/>
        </w:rPr>
      </w:pPr>
    </w:p>
    <w:p w14:paraId="4E0A6AEA" w14:textId="65F713B0" w:rsidR="0010353F" w:rsidRPr="005F1594" w:rsidRDefault="0010353F" w:rsidP="002075F6">
      <w:pPr>
        <w:pStyle w:val="Sinespaciado"/>
        <w:spacing w:line="360" w:lineRule="auto"/>
        <w:rPr>
          <w:rFonts w:ascii="Times New Roman" w:hAnsi="Times New Roman" w:cs="Times New Roman"/>
          <w:sz w:val="24"/>
          <w:szCs w:val="24"/>
          <w:lang w:val="es-AR"/>
        </w:rPr>
      </w:pPr>
      <w:r w:rsidRPr="005F1594">
        <w:rPr>
          <w:rFonts w:ascii="Times New Roman" w:hAnsi="Times New Roman" w:cs="Times New Roman"/>
          <w:sz w:val="24"/>
          <w:szCs w:val="24"/>
          <w:lang w:val="es-AR"/>
        </w:rPr>
        <w:t>Título en españo</w:t>
      </w:r>
      <w:r w:rsidR="00DD312F">
        <w:rPr>
          <w:rFonts w:ascii="Times New Roman" w:hAnsi="Times New Roman" w:cs="Times New Roman"/>
          <w:sz w:val="24"/>
          <w:szCs w:val="24"/>
          <w:lang w:val="es-AR"/>
        </w:rPr>
        <w:t xml:space="preserve">l: </w:t>
      </w:r>
      <w:r w:rsidR="00334FB5">
        <w:rPr>
          <w:rFonts w:ascii="Times New Roman" w:hAnsi="Times New Roman" w:cs="Times New Roman"/>
          <w:sz w:val="24"/>
          <w:szCs w:val="24"/>
          <w:lang w:val="es-AR"/>
        </w:rPr>
        <w:t>Anemia Hemolítica A</w:t>
      </w:r>
      <w:r w:rsidR="00366AF5">
        <w:rPr>
          <w:rFonts w:ascii="Times New Roman" w:hAnsi="Times New Roman" w:cs="Times New Roman"/>
          <w:sz w:val="24"/>
          <w:szCs w:val="24"/>
          <w:lang w:val="es-AR"/>
        </w:rPr>
        <w:t>utoinmune</w:t>
      </w:r>
      <w:r w:rsidR="00334FB5">
        <w:rPr>
          <w:rFonts w:ascii="Times New Roman" w:hAnsi="Times New Roman" w:cs="Times New Roman"/>
          <w:sz w:val="24"/>
          <w:szCs w:val="24"/>
          <w:lang w:val="es-AR"/>
        </w:rPr>
        <w:t xml:space="preserve"> en Chile</w:t>
      </w:r>
      <w:r w:rsidR="00D42B2E">
        <w:rPr>
          <w:rFonts w:ascii="Times New Roman" w:hAnsi="Times New Roman" w:cs="Times New Roman"/>
          <w:sz w:val="24"/>
          <w:szCs w:val="24"/>
          <w:lang w:val="es-AR"/>
        </w:rPr>
        <w:t xml:space="preserve">: un </w:t>
      </w:r>
      <w:r w:rsidR="00A672EA">
        <w:rPr>
          <w:rFonts w:ascii="Times New Roman" w:hAnsi="Times New Roman" w:cs="Times New Roman"/>
          <w:sz w:val="24"/>
          <w:szCs w:val="24"/>
          <w:lang w:val="es-AR"/>
        </w:rPr>
        <w:t>análisis</w:t>
      </w:r>
      <w:r w:rsidR="00D42B2E">
        <w:rPr>
          <w:rFonts w:ascii="Times New Roman" w:hAnsi="Times New Roman" w:cs="Times New Roman"/>
          <w:sz w:val="24"/>
          <w:szCs w:val="24"/>
          <w:lang w:val="es-AR"/>
        </w:rPr>
        <w:t xml:space="preserve"> retrospectivo de 43 pacientes </w:t>
      </w:r>
      <w:r w:rsidR="00A672EA">
        <w:rPr>
          <w:rFonts w:ascii="Times New Roman" w:hAnsi="Times New Roman" w:cs="Times New Roman"/>
          <w:sz w:val="24"/>
          <w:szCs w:val="24"/>
          <w:lang w:val="es-AR"/>
        </w:rPr>
        <w:t xml:space="preserve">hospitalizados </w:t>
      </w:r>
      <w:r w:rsidR="00D42B2E">
        <w:rPr>
          <w:rFonts w:ascii="Times New Roman" w:hAnsi="Times New Roman" w:cs="Times New Roman"/>
          <w:sz w:val="24"/>
          <w:szCs w:val="24"/>
          <w:lang w:val="es-AR"/>
        </w:rPr>
        <w:t xml:space="preserve">de la Unidad de Hematología </w:t>
      </w:r>
      <w:r w:rsidR="00B45AAD">
        <w:rPr>
          <w:rFonts w:ascii="Times New Roman" w:hAnsi="Times New Roman" w:cs="Times New Roman"/>
          <w:sz w:val="24"/>
          <w:szCs w:val="24"/>
          <w:lang w:val="es-AR"/>
        </w:rPr>
        <w:t xml:space="preserve">del </w:t>
      </w:r>
      <w:r w:rsidR="00A672EA">
        <w:rPr>
          <w:rFonts w:ascii="Times New Roman" w:hAnsi="Times New Roman" w:cs="Times New Roman"/>
          <w:sz w:val="24"/>
          <w:szCs w:val="24"/>
          <w:lang w:val="es-AR"/>
        </w:rPr>
        <w:t>Hospital del Salvador</w:t>
      </w:r>
    </w:p>
    <w:p w14:paraId="00B483EE" w14:textId="77777777" w:rsidR="0010353F" w:rsidRPr="005F1594" w:rsidRDefault="0010353F" w:rsidP="002075F6">
      <w:pPr>
        <w:pStyle w:val="Sinespaciado"/>
        <w:spacing w:line="360" w:lineRule="auto"/>
        <w:rPr>
          <w:rFonts w:ascii="Times New Roman" w:hAnsi="Times New Roman" w:cs="Times New Roman"/>
          <w:sz w:val="24"/>
          <w:szCs w:val="24"/>
          <w:lang w:val="es-AR"/>
        </w:rPr>
      </w:pPr>
    </w:p>
    <w:p w14:paraId="2835EAAC" w14:textId="77777777" w:rsidR="0010353F" w:rsidRPr="005F1594" w:rsidRDefault="0010353F" w:rsidP="002075F6">
      <w:pPr>
        <w:pStyle w:val="Sinespaciado"/>
        <w:spacing w:line="360" w:lineRule="auto"/>
        <w:rPr>
          <w:rFonts w:ascii="Times New Roman" w:hAnsi="Times New Roman" w:cs="Times New Roman"/>
          <w:sz w:val="24"/>
          <w:szCs w:val="24"/>
          <w:lang w:val="es-AR"/>
        </w:rPr>
      </w:pPr>
      <w:r w:rsidRPr="005F1594">
        <w:rPr>
          <w:rFonts w:ascii="Times New Roman" w:hAnsi="Times New Roman" w:cs="Times New Roman"/>
          <w:sz w:val="24"/>
          <w:szCs w:val="24"/>
          <w:lang w:val="es-AR"/>
        </w:rPr>
        <w:t xml:space="preserve">Abreviado: AHAI: Experiencia del Hospital del Salvador </w:t>
      </w:r>
    </w:p>
    <w:p w14:paraId="37789E94" w14:textId="77777777" w:rsidR="0010353F" w:rsidRPr="005F1594" w:rsidRDefault="0010353F" w:rsidP="002075F6">
      <w:pPr>
        <w:pStyle w:val="Sinespaciado"/>
        <w:spacing w:line="360" w:lineRule="auto"/>
        <w:rPr>
          <w:rFonts w:ascii="Times New Roman" w:hAnsi="Times New Roman" w:cs="Times New Roman"/>
          <w:sz w:val="24"/>
          <w:szCs w:val="24"/>
          <w:lang w:val="es-AR"/>
        </w:rPr>
      </w:pPr>
    </w:p>
    <w:p w14:paraId="1B18CE0A" w14:textId="5AE89004" w:rsidR="00D42B2E" w:rsidRPr="00A672EA" w:rsidRDefault="0010353F" w:rsidP="00D42B2E">
      <w:pPr>
        <w:rPr>
          <w:rFonts w:eastAsia="Times New Roman"/>
          <w:lang w:val="en-US"/>
        </w:rPr>
      </w:pPr>
      <w:r w:rsidRPr="00A672EA">
        <w:rPr>
          <w:lang w:val="en-US"/>
        </w:rPr>
        <w:t xml:space="preserve">Título en inglés: </w:t>
      </w:r>
      <w:r w:rsidR="00334FB5">
        <w:rPr>
          <w:rStyle w:val="tlid-translation"/>
          <w:rFonts w:eastAsia="Times New Roman"/>
          <w:lang w:val="en"/>
        </w:rPr>
        <w:t>Autoinmune Hemolytic Anemia in Chile</w:t>
      </w:r>
      <w:r w:rsidR="00D42B2E">
        <w:rPr>
          <w:rStyle w:val="tlid-translation"/>
          <w:rFonts w:eastAsia="Times New Roman"/>
          <w:lang w:val="en"/>
        </w:rPr>
        <w:t xml:space="preserve">: a retrospective analysis of 43 </w:t>
      </w:r>
      <w:r w:rsidR="00A672EA">
        <w:rPr>
          <w:rStyle w:val="tlid-translation"/>
          <w:rFonts w:eastAsia="Times New Roman"/>
          <w:lang w:val="en"/>
        </w:rPr>
        <w:t>in-</w:t>
      </w:r>
      <w:r w:rsidR="00D42B2E">
        <w:rPr>
          <w:rStyle w:val="tlid-translation"/>
          <w:rFonts w:eastAsia="Times New Roman"/>
          <w:lang w:val="en"/>
        </w:rPr>
        <w:t xml:space="preserve">patients from the Hematology Unit </w:t>
      </w:r>
      <w:r w:rsidR="00A672EA">
        <w:rPr>
          <w:rStyle w:val="tlid-translation"/>
          <w:rFonts w:eastAsia="Times New Roman"/>
          <w:lang w:val="en"/>
        </w:rPr>
        <w:t>of Hospital del Salvador</w:t>
      </w:r>
    </w:p>
    <w:p w14:paraId="2648D49F" w14:textId="1573EB5B" w:rsidR="009976CE" w:rsidRPr="00A672EA" w:rsidRDefault="009976CE" w:rsidP="002075F6">
      <w:pPr>
        <w:pStyle w:val="Sinespaciado"/>
        <w:spacing w:line="360" w:lineRule="auto"/>
        <w:rPr>
          <w:rFonts w:ascii="Times New Roman" w:hAnsi="Times New Roman" w:cs="Times New Roman"/>
          <w:sz w:val="24"/>
          <w:szCs w:val="24"/>
          <w:lang w:val="en-US"/>
        </w:rPr>
      </w:pPr>
    </w:p>
    <w:p w14:paraId="5311A35D" w14:textId="77777777" w:rsidR="00863BB2" w:rsidRPr="005F1594" w:rsidRDefault="008F2AAF" w:rsidP="002075F6">
      <w:pPr>
        <w:pStyle w:val="Sinespaciado"/>
        <w:spacing w:line="360" w:lineRule="auto"/>
        <w:rPr>
          <w:rFonts w:ascii="Times New Roman" w:hAnsi="Times New Roman" w:cs="Times New Roman"/>
          <w:sz w:val="24"/>
          <w:szCs w:val="24"/>
        </w:rPr>
      </w:pPr>
      <w:r w:rsidRPr="005F1594">
        <w:rPr>
          <w:rFonts w:ascii="Times New Roman" w:hAnsi="Times New Roman" w:cs="Times New Roman"/>
          <w:sz w:val="24"/>
          <w:szCs w:val="24"/>
        </w:rPr>
        <w:t xml:space="preserve">Hernán </w:t>
      </w:r>
      <w:r w:rsidR="002E37F5" w:rsidRPr="005F1594">
        <w:rPr>
          <w:rFonts w:ascii="Times New Roman" w:hAnsi="Times New Roman" w:cs="Times New Roman"/>
          <w:sz w:val="24"/>
          <w:szCs w:val="24"/>
        </w:rPr>
        <w:t>López-Vidal</w:t>
      </w:r>
      <w:r w:rsidRPr="005F1594">
        <w:rPr>
          <w:rFonts w:ascii="Times New Roman" w:hAnsi="Times New Roman" w:cs="Times New Roman"/>
          <w:sz w:val="24"/>
          <w:szCs w:val="24"/>
        </w:rPr>
        <w:t>.</w:t>
      </w:r>
      <w:r w:rsidR="00863BB2" w:rsidRPr="005F1594">
        <w:rPr>
          <w:rFonts w:ascii="Times New Roman" w:hAnsi="Times New Roman" w:cs="Times New Roman"/>
          <w:sz w:val="24"/>
          <w:szCs w:val="24"/>
          <w:vertAlign w:val="superscript"/>
        </w:rPr>
        <w:t>1</w:t>
      </w:r>
      <w:r w:rsidR="00863BB2" w:rsidRPr="005F1594">
        <w:rPr>
          <w:rFonts w:ascii="Times New Roman" w:hAnsi="Times New Roman" w:cs="Times New Roman"/>
          <w:sz w:val="24"/>
          <w:szCs w:val="24"/>
        </w:rPr>
        <w:t xml:space="preserve">, </w:t>
      </w:r>
      <w:r w:rsidR="002E37F5" w:rsidRPr="005F1594">
        <w:rPr>
          <w:rFonts w:ascii="Times New Roman" w:hAnsi="Times New Roman" w:cs="Times New Roman"/>
          <w:sz w:val="24"/>
          <w:szCs w:val="24"/>
        </w:rPr>
        <w:t>Camila Peña</w:t>
      </w:r>
      <w:r w:rsidR="002E37F5" w:rsidRPr="005F1594">
        <w:rPr>
          <w:rFonts w:ascii="Times New Roman" w:hAnsi="Times New Roman" w:cs="Times New Roman"/>
          <w:sz w:val="24"/>
          <w:szCs w:val="24"/>
          <w:vertAlign w:val="superscript"/>
        </w:rPr>
        <w:t>2</w:t>
      </w:r>
      <w:r w:rsidR="002E37F5" w:rsidRPr="005F1594">
        <w:rPr>
          <w:rFonts w:ascii="Times New Roman" w:hAnsi="Times New Roman" w:cs="Times New Roman"/>
          <w:sz w:val="24"/>
          <w:szCs w:val="24"/>
        </w:rPr>
        <w:t xml:space="preserve">, </w:t>
      </w:r>
      <w:r w:rsidRPr="005F1594">
        <w:rPr>
          <w:rFonts w:ascii="Times New Roman" w:hAnsi="Times New Roman" w:cs="Times New Roman"/>
          <w:sz w:val="24"/>
          <w:szCs w:val="24"/>
        </w:rPr>
        <w:t>Claudia Gajardo</w:t>
      </w:r>
      <w:r w:rsidR="00863BB2" w:rsidRPr="005F1594">
        <w:rPr>
          <w:rFonts w:ascii="Times New Roman" w:hAnsi="Times New Roman" w:cs="Times New Roman"/>
          <w:sz w:val="24"/>
          <w:szCs w:val="24"/>
          <w:vertAlign w:val="superscript"/>
        </w:rPr>
        <w:t>1</w:t>
      </w:r>
      <w:r w:rsidR="00386B25" w:rsidRPr="005F1594">
        <w:rPr>
          <w:rFonts w:ascii="Times New Roman" w:hAnsi="Times New Roman" w:cs="Times New Roman"/>
          <w:sz w:val="24"/>
          <w:szCs w:val="24"/>
        </w:rPr>
        <w:t>, Ximena Va</w:t>
      </w:r>
      <w:r w:rsidR="00863BB2" w:rsidRPr="005F1594">
        <w:rPr>
          <w:rFonts w:ascii="Times New Roman" w:hAnsi="Times New Roman" w:cs="Times New Roman"/>
          <w:sz w:val="24"/>
          <w:szCs w:val="24"/>
        </w:rPr>
        <w:t>lladares</w:t>
      </w:r>
      <w:r w:rsidR="00863BB2" w:rsidRPr="005F1594">
        <w:rPr>
          <w:rFonts w:ascii="Times New Roman" w:hAnsi="Times New Roman" w:cs="Times New Roman"/>
          <w:sz w:val="24"/>
          <w:szCs w:val="24"/>
          <w:vertAlign w:val="superscript"/>
        </w:rPr>
        <w:t>2</w:t>
      </w:r>
      <w:r w:rsidR="00863BB2" w:rsidRPr="005F1594">
        <w:rPr>
          <w:rFonts w:ascii="Times New Roman" w:hAnsi="Times New Roman" w:cs="Times New Roman"/>
          <w:sz w:val="24"/>
          <w:szCs w:val="24"/>
        </w:rPr>
        <w:t xml:space="preserve">, </w:t>
      </w:r>
      <w:r w:rsidR="002526E4" w:rsidRPr="005F1594">
        <w:rPr>
          <w:rFonts w:ascii="Times New Roman" w:hAnsi="Times New Roman" w:cs="Times New Roman"/>
          <w:sz w:val="24"/>
          <w:szCs w:val="24"/>
        </w:rPr>
        <w:t>María</w:t>
      </w:r>
      <w:r w:rsidRPr="005F1594">
        <w:rPr>
          <w:rFonts w:ascii="Times New Roman" w:hAnsi="Times New Roman" w:cs="Times New Roman"/>
          <w:sz w:val="24"/>
          <w:szCs w:val="24"/>
        </w:rPr>
        <w:t xml:space="preserve"> Elena </w:t>
      </w:r>
      <w:r w:rsidR="00863BB2" w:rsidRPr="005F1594">
        <w:rPr>
          <w:rFonts w:ascii="Times New Roman" w:hAnsi="Times New Roman" w:cs="Times New Roman"/>
          <w:sz w:val="24"/>
          <w:szCs w:val="24"/>
        </w:rPr>
        <w:t>Cabrera</w:t>
      </w:r>
      <w:r w:rsidR="00706560" w:rsidRPr="005F1594">
        <w:rPr>
          <w:rFonts w:ascii="Times New Roman" w:hAnsi="Times New Roman" w:cs="Times New Roman"/>
          <w:sz w:val="24"/>
          <w:szCs w:val="24"/>
        </w:rPr>
        <w:t xml:space="preserve"> C.</w:t>
      </w:r>
      <w:r w:rsidR="00082AD2" w:rsidRPr="005F1594">
        <w:rPr>
          <w:rFonts w:ascii="Times New Roman" w:hAnsi="Times New Roman" w:cs="Times New Roman"/>
          <w:sz w:val="24"/>
          <w:szCs w:val="24"/>
          <w:vertAlign w:val="superscript"/>
        </w:rPr>
        <w:t>3</w:t>
      </w:r>
    </w:p>
    <w:p w14:paraId="66B50B30" w14:textId="77777777" w:rsidR="002E37F5" w:rsidRPr="005F1594" w:rsidRDefault="00082AD2" w:rsidP="002075F6">
      <w:pPr>
        <w:spacing w:line="360" w:lineRule="auto"/>
      </w:pPr>
      <w:r w:rsidRPr="005F1594">
        <w:rPr>
          <w:vertAlign w:val="superscript"/>
        </w:rPr>
        <w:t>1</w:t>
      </w:r>
      <w:r w:rsidRPr="005F1594">
        <w:t xml:space="preserve">Residentes </w:t>
      </w:r>
      <w:r w:rsidR="00863BB2" w:rsidRPr="005F1594">
        <w:t>de Hematología</w:t>
      </w:r>
      <w:r w:rsidR="00706560" w:rsidRPr="005F1594">
        <w:t>,</w:t>
      </w:r>
      <w:r w:rsidR="00263858" w:rsidRPr="005F1594">
        <w:t xml:space="preserve"> Hospital del Salvador</w:t>
      </w:r>
      <w:r w:rsidR="00706560" w:rsidRPr="005F1594">
        <w:t>,</w:t>
      </w:r>
      <w:r w:rsidR="00263858" w:rsidRPr="005F1594">
        <w:t xml:space="preserve"> Santiago/</w:t>
      </w:r>
      <w:r w:rsidR="00863BB2" w:rsidRPr="005F1594">
        <w:t xml:space="preserve">Universidad de Chile. </w:t>
      </w:r>
      <w:r w:rsidR="00863BB2" w:rsidRPr="005F1594">
        <w:rPr>
          <w:vertAlign w:val="superscript"/>
        </w:rPr>
        <w:t>2</w:t>
      </w:r>
      <w:r w:rsidR="002E37F5" w:rsidRPr="005F1594">
        <w:t xml:space="preserve">Unidad de Hematología Clínica, </w:t>
      </w:r>
      <w:r w:rsidR="00863BB2" w:rsidRPr="005F1594">
        <w:t>Hospital del Salvador</w:t>
      </w:r>
      <w:r w:rsidR="00706560" w:rsidRPr="005F1594">
        <w:t>,</w:t>
      </w:r>
      <w:r w:rsidR="002E37F5" w:rsidRPr="005F1594">
        <w:t xml:space="preserve"> Santiago</w:t>
      </w:r>
    </w:p>
    <w:p w14:paraId="4A7B1990" w14:textId="77777777" w:rsidR="004F5CC4" w:rsidRPr="005F1594" w:rsidRDefault="00863BB2" w:rsidP="002075F6">
      <w:pPr>
        <w:spacing w:line="360" w:lineRule="auto"/>
      </w:pPr>
      <w:r w:rsidRPr="005F1594">
        <w:rPr>
          <w:vertAlign w:val="superscript"/>
        </w:rPr>
        <w:t>3</w:t>
      </w:r>
      <w:r w:rsidRPr="005F1594">
        <w:t xml:space="preserve">Sección Hematología </w:t>
      </w:r>
      <w:r w:rsidR="00263858" w:rsidRPr="005F1594">
        <w:t>Hospital del Salvador</w:t>
      </w:r>
      <w:r w:rsidR="00706560" w:rsidRPr="005F1594">
        <w:t>, Profesor Titular de Medicina, Universidad de Chile,</w:t>
      </w:r>
      <w:r w:rsidR="00263858" w:rsidRPr="005F1594">
        <w:t xml:space="preserve"> Santiago de Chile</w:t>
      </w:r>
    </w:p>
    <w:p w14:paraId="6F907D14" w14:textId="77777777" w:rsidR="009976CE" w:rsidRPr="005F1594" w:rsidRDefault="009976CE" w:rsidP="002075F6">
      <w:pPr>
        <w:spacing w:line="360" w:lineRule="auto"/>
      </w:pPr>
    </w:p>
    <w:p w14:paraId="151B6B51" w14:textId="77777777" w:rsidR="00046A5B" w:rsidRPr="005F1594" w:rsidRDefault="00D676F3" w:rsidP="002075F6">
      <w:pPr>
        <w:spacing w:line="360" w:lineRule="auto"/>
      </w:pPr>
      <w:r w:rsidRPr="005F1594">
        <w:t xml:space="preserve">Correspondencia a: </w:t>
      </w:r>
    </w:p>
    <w:p w14:paraId="57F0D06D" w14:textId="77777777" w:rsidR="00046A5B" w:rsidRPr="005F1594" w:rsidRDefault="00B47C2C" w:rsidP="002075F6">
      <w:pPr>
        <w:spacing w:line="360" w:lineRule="auto"/>
      </w:pPr>
      <w:r w:rsidRPr="005F1594">
        <w:t>Dra. Camila Peña</w:t>
      </w:r>
    </w:p>
    <w:p w14:paraId="4C78C2CF" w14:textId="77777777" w:rsidR="00B47C2C" w:rsidRPr="005F1594" w:rsidRDefault="00B47C2C" w:rsidP="002075F6">
      <w:pPr>
        <w:spacing w:line="360" w:lineRule="auto"/>
      </w:pPr>
      <w:r w:rsidRPr="005F1594">
        <w:t>25753583-93837876</w:t>
      </w:r>
    </w:p>
    <w:p w14:paraId="4FD6578A" w14:textId="77777777" w:rsidR="00B47C2C" w:rsidRPr="005F1594" w:rsidRDefault="00B47C2C" w:rsidP="002075F6">
      <w:pPr>
        <w:spacing w:line="360" w:lineRule="auto"/>
      </w:pPr>
      <w:r w:rsidRPr="005F1594">
        <w:t>Av Salvador 364, Providencia</w:t>
      </w:r>
    </w:p>
    <w:p w14:paraId="6CE928E4" w14:textId="77777777" w:rsidR="00B47C2C" w:rsidRPr="005F1594" w:rsidRDefault="00B47C2C" w:rsidP="002075F6">
      <w:pPr>
        <w:spacing w:line="360" w:lineRule="auto"/>
      </w:pPr>
      <w:r w:rsidRPr="005F1594">
        <w:t>camipena@gmail.com</w:t>
      </w:r>
    </w:p>
    <w:p w14:paraId="47D291E9" w14:textId="77777777" w:rsidR="009976CE" w:rsidRPr="005F1594" w:rsidRDefault="009976CE" w:rsidP="002075F6">
      <w:pPr>
        <w:spacing w:line="360" w:lineRule="auto"/>
      </w:pPr>
    </w:p>
    <w:p w14:paraId="743484D0" w14:textId="77777777" w:rsidR="00282929" w:rsidRPr="005F1594" w:rsidRDefault="00282929" w:rsidP="002075F6">
      <w:pPr>
        <w:spacing w:line="360" w:lineRule="auto"/>
        <w:rPr>
          <w:b/>
        </w:rPr>
      </w:pPr>
    </w:p>
    <w:p w14:paraId="1DD8125B" w14:textId="2BB29B01" w:rsidR="009976CE" w:rsidRPr="005F1594" w:rsidRDefault="009976CE" w:rsidP="002075F6">
      <w:pPr>
        <w:spacing w:line="360" w:lineRule="auto"/>
        <w:rPr>
          <w:b/>
        </w:rPr>
      </w:pPr>
      <w:r w:rsidRPr="005F1594">
        <w:rPr>
          <w:b/>
        </w:rPr>
        <w:t>Numero de Tablas y de Figuras</w:t>
      </w:r>
      <w:r w:rsidR="00733F12">
        <w:rPr>
          <w:b/>
        </w:rPr>
        <w:t>:</w:t>
      </w:r>
      <w:r w:rsidR="000C0B9E">
        <w:rPr>
          <w:b/>
        </w:rPr>
        <w:t xml:space="preserve"> 3 tablas y 2 figuras</w:t>
      </w:r>
    </w:p>
    <w:p w14:paraId="0544EB07" w14:textId="77777777" w:rsidR="009976CE" w:rsidRPr="005F1594" w:rsidRDefault="009976CE" w:rsidP="002075F6">
      <w:pPr>
        <w:spacing w:line="360" w:lineRule="auto"/>
        <w:rPr>
          <w:b/>
        </w:rPr>
      </w:pPr>
    </w:p>
    <w:p w14:paraId="3FF92756" w14:textId="67EC649A" w:rsidR="009976CE" w:rsidRPr="005F1594" w:rsidRDefault="009976CE" w:rsidP="002075F6">
      <w:pPr>
        <w:spacing w:line="360" w:lineRule="auto"/>
        <w:rPr>
          <w:b/>
        </w:rPr>
      </w:pPr>
      <w:r w:rsidRPr="005F1594">
        <w:rPr>
          <w:b/>
        </w:rPr>
        <w:t>Recuento Palabras:</w:t>
      </w:r>
      <w:r w:rsidR="00C47C33">
        <w:rPr>
          <w:b/>
        </w:rPr>
        <w:t xml:space="preserve"> </w:t>
      </w:r>
      <w:r w:rsidR="00EF05AA">
        <w:rPr>
          <w:b/>
        </w:rPr>
        <w:t>2249</w:t>
      </w:r>
    </w:p>
    <w:p w14:paraId="5466E622" w14:textId="77777777" w:rsidR="00282929" w:rsidRPr="005F1594" w:rsidRDefault="00282929" w:rsidP="002075F6">
      <w:pPr>
        <w:spacing w:line="360" w:lineRule="auto"/>
        <w:rPr>
          <w:b/>
        </w:rPr>
      </w:pPr>
    </w:p>
    <w:p w14:paraId="0A9782AB" w14:textId="77777777" w:rsidR="00282929" w:rsidRPr="005F1594" w:rsidRDefault="00282929" w:rsidP="002075F6">
      <w:pPr>
        <w:spacing w:line="360" w:lineRule="auto"/>
        <w:rPr>
          <w:b/>
        </w:rPr>
      </w:pPr>
    </w:p>
    <w:p w14:paraId="717C8534" w14:textId="77777777" w:rsidR="00282929" w:rsidRPr="005F1594" w:rsidRDefault="00282929" w:rsidP="002075F6">
      <w:pPr>
        <w:spacing w:line="360" w:lineRule="auto"/>
        <w:rPr>
          <w:b/>
        </w:rPr>
      </w:pPr>
    </w:p>
    <w:p w14:paraId="510F06BD" w14:textId="77777777" w:rsidR="00D1080B" w:rsidRPr="005F1594" w:rsidRDefault="00D1080B" w:rsidP="002075F6">
      <w:pPr>
        <w:spacing w:line="360" w:lineRule="auto"/>
        <w:rPr>
          <w:b/>
        </w:rPr>
      </w:pPr>
    </w:p>
    <w:p w14:paraId="53FABC17" w14:textId="77777777" w:rsidR="00296C2B" w:rsidRDefault="00296C2B" w:rsidP="002075F6">
      <w:pPr>
        <w:spacing w:line="360" w:lineRule="auto"/>
        <w:rPr>
          <w:b/>
          <w:lang w:val="es-ES"/>
        </w:rPr>
      </w:pPr>
    </w:p>
    <w:p w14:paraId="48825B66" w14:textId="77777777" w:rsidR="009976CE" w:rsidRPr="005F1594" w:rsidRDefault="009976CE" w:rsidP="002075F6">
      <w:pPr>
        <w:spacing w:line="360" w:lineRule="auto"/>
        <w:rPr>
          <w:b/>
          <w:lang w:val="es-ES"/>
        </w:rPr>
      </w:pPr>
      <w:r w:rsidRPr="005F1594">
        <w:rPr>
          <w:b/>
          <w:lang w:val="es-ES"/>
        </w:rPr>
        <w:lastRenderedPageBreak/>
        <w:t>Resumen</w:t>
      </w:r>
    </w:p>
    <w:p w14:paraId="1F67CBCF" w14:textId="003D0F28" w:rsidR="00393A34" w:rsidRPr="00CD1D2F" w:rsidRDefault="00460521" w:rsidP="002075F6">
      <w:pPr>
        <w:spacing w:line="360" w:lineRule="auto"/>
        <w:rPr>
          <w:lang w:val="es-ES"/>
        </w:rPr>
      </w:pPr>
      <w:r w:rsidRPr="005F1594">
        <w:rPr>
          <w:b/>
          <w:lang w:val="es-ES"/>
        </w:rPr>
        <w:t>Introducción</w:t>
      </w:r>
      <w:r w:rsidR="00012755" w:rsidRPr="005F1594">
        <w:rPr>
          <w:b/>
          <w:lang w:val="es-ES"/>
        </w:rPr>
        <w:t>.</w:t>
      </w:r>
      <w:r w:rsidR="002E7456">
        <w:rPr>
          <w:b/>
          <w:lang w:val="es-ES"/>
        </w:rPr>
        <w:t xml:space="preserve"> </w:t>
      </w:r>
      <w:r w:rsidR="00012755" w:rsidRPr="005F1594">
        <w:rPr>
          <w:lang w:val="es-ES"/>
        </w:rPr>
        <w:t>L</w:t>
      </w:r>
      <w:r w:rsidR="00D1080B" w:rsidRPr="005F1594">
        <w:rPr>
          <w:lang w:val="es-ES"/>
        </w:rPr>
        <w:t xml:space="preserve">a Anemia Hemolítica Autoinmune </w:t>
      </w:r>
      <w:r w:rsidR="00634D63" w:rsidRPr="005F1594">
        <w:rPr>
          <w:lang w:val="es-ES"/>
        </w:rPr>
        <w:t>(AHAI)</w:t>
      </w:r>
      <w:r w:rsidR="00227BD6" w:rsidRPr="005F1594">
        <w:rPr>
          <w:lang w:val="es-ES"/>
        </w:rPr>
        <w:t xml:space="preserve"> </w:t>
      </w:r>
      <w:r w:rsidR="00D1080B" w:rsidRPr="005F1594">
        <w:rPr>
          <w:lang w:val="es-ES"/>
        </w:rPr>
        <w:t xml:space="preserve">es una enfermedad </w:t>
      </w:r>
      <w:r w:rsidR="00D42B2E">
        <w:rPr>
          <w:lang w:val="es-ES"/>
        </w:rPr>
        <w:t>poco c</w:t>
      </w:r>
      <w:r w:rsidR="00D42B2E">
        <w:rPr>
          <w:lang w:val="es-ES"/>
        </w:rPr>
        <w:t>o</w:t>
      </w:r>
      <w:r w:rsidRPr="005F1594">
        <w:rPr>
          <w:lang w:val="es-ES"/>
        </w:rPr>
        <w:t>mún</w:t>
      </w:r>
      <w:r w:rsidR="00FA747C" w:rsidRPr="005F1594">
        <w:rPr>
          <w:lang w:val="es-ES"/>
        </w:rPr>
        <w:t>.</w:t>
      </w:r>
      <w:r w:rsidRPr="005F1594">
        <w:rPr>
          <w:lang w:val="es-ES"/>
        </w:rPr>
        <w:t xml:space="preserve"> </w:t>
      </w:r>
      <w:r w:rsidR="00D42B2E">
        <w:rPr>
          <w:lang w:val="es-ES"/>
        </w:rPr>
        <w:t xml:space="preserve">En su presentación puede ser severa e incluso letal. Existe sólo un reporte de un caso clínico de esta patología en Chile. </w:t>
      </w:r>
      <w:r w:rsidR="00634D63" w:rsidRPr="005F1594">
        <w:rPr>
          <w:b/>
          <w:lang w:val="es-ES"/>
        </w:rPr>
        <w:t>Objetivo</w:t>
      </w:r>
      <w:r w:rsidR="00012755" w:rsidRPr="005F1594">
        <w:rPr>
          <w:b/>
          <w:lang w:val="es-ES"/>
        </w:rPr>
        <w:t xml:space="preserve">. </w:t>
      </w:r>
      <w:r w:rsidR="00012755" w:rsidRPr="005F1594">
        <w:rPr>
          <w:lang w:val="es-ES"/>
        </w:rPr>
        <w:t>D</w:t>
      </w:r>
      <w:r w:rsidR="00634D63" w:rsidRPr="005F1594">
        <w:rPr>
          <w:lang w:val="es-ES"/>
        </w:rPr>
        <w:t xml:space="preserve">escribir las </w:t>
      </w:r>
      <w:r w:rsidR="00893E8D" w:rsidRPr="005F1594">
        <w:rPr>
          <w:lang w:val="es-ES"/>
        </w:rPr>
        <w:t>características</w:t>
      </w:r>
      <w:r w:rsidR="00227BD6" w:rsidRPr="005F1594">
        <w:rPr>
          <w:lang w:val="es-ES"/>
        </w:rPr>
        <w:t xml:space="preserve"> </w:t>
      </w:r>
      <w:r w:rsidR="00391F94" w:rsidRPr="005F1594">
        <w:rPr>
          <w:lang w:val="es-ES"/>
        </w:rPr>
        <w:t xml:space="preserve">clínicas </w:t>
      </w:r>
      <w:r w:rsidR="00CF23FE" w:rsidRPr="005F1594">
        <w:rPr>
          <w:lang w:val="es-ES"/>
        </w:rPr>
        <w:t>y evol</w:t>
      </w:r>
      <w:r w:rsidR="00CF23FE" w:rsidRPr="005F1594">
        <w:rPr>
          <w:lang w:val="es-ES"/>
        </w:rPr>
        <w:t>u</w:t>
      </w:r>
      <w:r w:rsidR="00CF23FE" w:rsidRPr="005F1594">
        <w:rPr>
          <w:lang w:val="es-ES"/>
        </w:rPr>
        <w:t>ción</w:t>
      </w:r>
      <w:r w:rsidRPr="005F1594">
        <w:rPr>
          <w:lang w:val="es-ES"/>
        </w:rPr>
        <w:t xml:space="preserve"> </w:t>
      </w:r>
      <w:r w:rsidR="00227BD6" w:rsidRPr="005F1594">
        <w:rPr>
          <w:lang w:val="es-ES"/>
        </w:rPr>
        <w:t>d</w:t>
      </w:r>
      <w:r w:rsidRPr="005F1594">
        <w:rPr>
          <w:lang w:val="es-ES"/>
        </w:rPr>
        <w:t>e</w:t>
      </w:r>
      <w:r w:rsidR="00634D63" w:rsidRPr="005F1594">
        <w:rPr>
          <w:lang w:val="es-ES"/>
        </w:rPr>
        <w:t xml:space="preserve"> pacientes</w:t>
      </w:r>
      <w:r w:rsidR="004B331D" w:rsidRPr="005F1594">
        <w:rPr>
          <w:lang w:val="es-ES"/>
        </w:rPr>
        <w:t xml:space="preserve"> adultos</w:t>
      </w:r>
      <w:r w:rsidR="00391F94" w:rsidRPr="005F1594">
        <w:rPr>
          <w:lang w:val="es-ES"/>
        </w:rPr>
        <w:t xml:space="preserve"> </w:t>
      </w:r>
      <w:r w:rsidR="00D42B2E">
        <w:rPr>
          <w:lang w:val="es-ES"/>
        </w:rPr>
        <w:t xml:space="preserve">hospitalizados </w:t>
      </w:r>
      <w:r w:rsidR="00391F94" w:rsidRPr="005F1594">
        <w:rPr>
          <w:lang w:val="es-ES"/>
        </w:rPr>
        <w:t>co</w:t>
      </w:r>
      <w:r w:rsidR="00B12E1C" w:rsidRPr="005F1594">
        <w:rPr>
          <w:lang w:val="es-ES"/>
        </w:rPr>
        <w:t xml:space="preserve">n </w:t>
      </w:r>
      <w:r w:rsidR="004B331D" w:rsidRPr="005F1594">
        <w:rPr>
          <w:lang w:val="es-ES"/>
        </w:rPr>
        <w:t>diag</w:t>
      </w:r>
      <w:r w:rsidR="00391F94" w:rsidRPr="005F1594">
        <w:rPr>
          <w:lang w:val="es-ES"/>
        </w:rPr>
        <w:t>nóstico de</w:t>
      </w:r>
      <w:r w:rsidR="00634D63" w:rsidRPr="005F1594">
        <w:rPr>
          <w:lang w:val="es-ES"/>
        </w:rPr>
        <w:t xml:space="preserve"> AHAI</w:t>
      </w:r>
      <w:r w:rsidR="00FA747C" w:rsidRPr="005F1594">
        <w:rPr>
          <w:lang w:val="es-ES"/>
        </w:rPr>
        <w:t>.</w:t>
      </w:r>
      <w:r w:rsidR="00227BD6" w:rsidRPr="005F1594">
        <w:rPr>
          <w:lang w:val="es-ES"/>
        </w:rPr>
        <w:t xml:space="preserve"> </w:t>
      </w:r>
      <w:r w:rsidR="00634D63" w:rsidRPr="005F1594">
        <w:rPr>
          <w:b/>
          <w:color w:val="231F20"/>
          <w:lang w:val="es-ES"/>
        </w:rPr>
        <w:t xml:space="preserve">Materiales y </w:t>
      </w:r>
      <w:r w:rsidR="00972DA9" w:rsidRPr="005F1594">
        <w:rPr>
          <w:b/>
          <w:color w:val="231F20"/>
          <w:lang w:val="es-ES"/>
        </w:rPr>
        <w:t>Métodos</w:t>
      </w:r>
      <w:r w:rsidR="00227BD6" w:rsidRPr="005F1594">
        <w:rPr>
          <w:b/>
          <w:color w:val="231F20"/>
          <w:lang w:val="es-ES"/>
        </w:rPr>
        <w:t xml:space="preserve">. </w:t>
      </w:r>
      <w:r w:rsidR="00634D63" w:rsidRPr="005F1594">
        <w:rPr>
          <w:lang w:val="es-ES"/>
        </w:rPr>
        <w:t xml:space="preserve">Revisión retrospectiva de fichas clínicas de pacientes </w:t>
      </w:r>
      <w:r w:rsidR="007D2D3E" w:rsidRPr="005F1594">
        <w:rPr>
          <w:lang w:val="es-ES"/>
        </w:rPr>
        <w:t>con diagnóstico de</w:t>
      </w:r>
      <w:r w:rsidR="00634D63" w:rsidRPr="005F1594">
        <w:rPr>
          <w:lang w:val="es-ES"/>
        </w:rPr>
        <w:t xml:space="preserve"> AHAI</w:t>
      </w:r>
      <w:r w:rsidR="00B32D9E" w:rsidRPr="005F1594">
        <w:rPr>
          <w:lang w:val="es-ES"/>
        </w:rPr>
        <w:t xml:space="preserve"> </w:t>
      </w:r>
      <w:r w:rsidR="00D42B2E">
        <w:rPr>
          <w:lang w:val="es-ES"/>
        </w:rPr>
        <w:t>hospital</w:t>
      </w:r>
      <w:r w:rsidR="00D42B2E">
        <w:rPr>
          <w:lang w:val="es-ES"/>
        </w:rPr>
        <w:t>i</w:t>
      </w:r>
      <w:r w:rsidR="00D42B2E">
        <w:rPr>
          <w:lang w:val="es-ES"/>
        </w:rPr>
        <w:t>zados</w:t>
      </w:r>
      <w:r w:rsidR="004B2DEA" w:rsidRPr="005F1594">
        <w:rPr>
          <w:lang w:val="es-ES"/>
        </w:rPr>
        <w:t xml:space="preserve"> entre </w:t>
      </w:r>
      <w:r w:rsidR="005F72B6" w:rsidRPr="005F1594">
        <w:rPr>
          <w:lang w:val="es-ES"/>
        </w:rPr>
        <w:t xml:space="preserve">enero </w:t>
      </w:r>
      <w:r w:rsidR="00B32D9E" w:rsidRPr="005F1594">
        <w:rPr>
          <w:lang w:val="es-ES"/>
        </w:rPr>
        <w:t>20</w:t>
      </w:r>
      <w:r w:rsidR="00C42655" w:rsidRPr="005F1594">
        <w:rPr>
          <w:lang w:val="es-ES"/>
        </w:rPr>
        <w:t>1</w:t>
      </w:r>
      <w:r w:rsidR="00D42B2E">
        <w:rPr>
          <w:lang w:val="es-ES"/>
        </w:rPr>
        <w:t>0</w:t>
      </w:r>
      <w:r w:rsidR="00B32D9E" w:rsidRPr="005F1594">
        <w:rPr>
          <w:lang w:val="es-ES"/>
        </w:rPr>
        <w:t xml:space="preserve"> y </w:t>
      </w:r>
      <w:r w:rsidR="00D42B2E" w:rsidRPr="005F1594">
        <w:rPr>
          <w:lang w:val="es-ES"/>
        </w:rPr>
        <w:t>junio</w:t>
      </w:r>
      <w:r w:rsidR="00B32D9E" w:rsidRPr="005F1594">
        <w:rPr>
          <w:lang w:val="es-ES"/>
        </w:rPr>
        <w:t xml:space="preserve"> </w:t>
      </w:r>
      <w:r w:rsidR="005F72B6" w:rsidRPr="005F1594">
        <w:rPr>
          <w:lang w:val="es-ES"/>
        </w:rPr>
        <w:t>2018</w:t>
      </w:r>
      <w:r w:rsidR="00634D63" w:rsidRPr="005F1594">
        <w:rPr>
          <w:lang w:val="es-ES"/>
        </w:rPr>
        <w:t>. Se analizó información demográfica, clínica, labor</w:t>
      </w:r>
      <w:r w:rsidR="00634D63" w:rsidRPr="005F1594">
        <w:rPr>
          <w:lang w:val="es-ES"/>
        </w:rPr>
        <w:t>a</w:t>
      </w:r>
      <w:r w:rsidR="00634D63" w:rsidRPr="005F1594">
        <w:rPr>
          <w:lang w:val="es-ES"/>
        </w:rPr>
        <w:t>torio y terapéutica. Se realizó análisis estadístico d</w:t>
      </w:r>
      <w:r w:rsidR="00B32D9E" w:rsidRPr="005F1594">
        <w:rPr>
          <w:lang w:val="es-ES"/>
        </w:rPr>
        <w:t>escriptivo</w:t>
      </w:r>
      <w:r w:rsidR="00997869">
        <w:rPr>
          <w:lang w:val="es-ES"/>
        </w:rPr>
        <w:t>, analítico</w:t>
      </w:r>
      <w:r w:rsidR="00D42B2E">
        <w:rPr>
          <w:lang w:val="es-ES"/>
        </w:rPr>
        <w:t xml:space="preserve"> y sobrevida por Kaplan-</w:t>
      </w:r>
      <w:r w:rsidR="00B32D9E" w:rsidRPr="005F1594">
        <w:rPr>
          <w:lang w:val="es-ES"/>
        </w:rPr>
        <w:t>Meier</w:t>
      </w:r>
      <w:r w:rsidR="00634D63" w:rsidRPr="005F1594">
        <w:rPr>
          <w:lang w:val="es-ES"/>
        </w:rPr>
        <w:t>.</w:t>
      </w:r>
      <w:r w:rsidR="00227BD6" w:rsidRPr="005F1594">
        <w:rPr>
          <w:lang w:val="es-ES"/>
        </w:rPr>
        <w:t xml:space="preserve"> </w:t>
      </w:r>
      <w:r w:rsidR="00634D63" w:rsidRPr="005F1594">
        <w:rPr>
          <w:b/>
          <w:lang w:val="es-ES"/>
        </w:rPr>
        <w:t>Resultados</w:t>
      </w:r>
      <w:r w:rsidR="00012755" w:rsidRPr="005F1594">
        <w:rPr>
          <w:b/>
          <w:lang w:val="es-ES"/>
        </w:rPr>
        <w:t>.</w:t>
      </w:r>
      <w:r w:rsidR="00A27559">
        <w:rPr>
          <w:b/>
          <w:lang w:val="es-ES"/>
        </w:rPr>
        <w:t xml:space="preserve"> </w:t>
      </w:r>
      <w:r w:rsidR="00265184" w:rsidRPr="005F1594">
        <w:rPr>
          <w:lang w:val="es-ES"/>
        </w:rPr>
        <w:t xml:space="preserve">43 pacientes </w:t>
      </w:r>
      <w:r w:rsidR="00A27559">
        <w:rPr>
          <w:lang w:val="es-ES"/>
        </w:rPr>
        <w:t>adultos con diagnóstico de</w:t>
      </w:r>
      <w:r w:rsidR="00265184" w:rsidRPr="005F1594">
        <w:rPr>
          <w:lang w:val="es-ES"/>
        </w:rPr>
        <w:t xml:space="preserve"> AHAI </w:t>
      </w:r>
      <w:r w:rsidR="00A27559">
        <w:rPr>
          <w:lang w:val="es-ES"/>
        </w:rPr>
        <w:t>fueron hospit</w:t>
      </w:r>
      <w:r w:rsidR="00A27559">
        <w:rPr>
          <w:lang w:val="es-ES"/>
        </w:rPr>
        <w:t>a</w:t>
      </w:r>
      <w:r w:rsidR="00A27559">
        <w:rPr>
          <w:lang w:val="es-ES"/>
        </w:rPr>
        <w:t xml:space="preserve">lizados </w:t>
      </w:r>
      <w:r w:rsidR="00265184" w:rsidRPr="005F1594">
        <w:rPr>
          <w:lang w:val="es-ES"/>
        </w:rPr>
        <w:t xml:space="preserve">en </w:t>
      </w:r>
      <w:r w:rsidR="00967BDB" w:rsidRPr="005F1594">
        <w:rPr>
          <w:lang w:val="es-ES"/>
        </w:rPr>
        <w:t>un</w:t>
      </w:r>
      <w:r w:rsidR="00265184" w:rsidRPr="005F1594">
        <w:rPr>
          <w:lang w:val="es-ES"/>
        </w:rPr>
        <w:t xml:space="preserve"> periodo de 8 años. La edad media </w:t>
      </w:r>
      <w:r w:rsidR="00005A3F">
        <w:rPr>
          <w:lang w:val="es-ES"/>
        </w:rPr>
        <w:t>fue 63 años (rango 22-86 años) con</w:t>
      </w:r>
      <w:r w:rsidR="00265184" w:rsidRPr="005F1594">
        <w:rPr>
          <w:lang w:val="es-ES"/>
        </w:rPr>
        <w:t xml:space="preserve"> pred</w:t>
      </w:r>
      <w:r w:rsidR="00265184" w:rsidRPr="005F1594">
        <w:rPr>
          <w:lang w:val="es-ES"/>
        </w:rPr>
        <w:t>o</w:t>
      </w:r>
      <w:r w:rsidR="00265184" w:rsidRPr="005F1594">
        <w:rPr>
          <w:lang w:val="es-ES"/>
        </w:rPr>
        <w:t>min</w:t>
      </w:r>
      <w:r w:rsidR="00C42655" w:rsidRPr="005F1594">
        <w:rPr>
          <w:lang w:val="es-ES"/>
        </w:rPr>
        <w:t>io de</w:t>
      </w:r>
      <w:r w:rsidR="00265184" w:rsidRPr="005F1594">
        <w:rPr>
          <w:lang w:val="es-ES"/>
        </w:rPr>
        <w:t xml:space="preserve"> mujeres</w:t>
      </w:r>
      <w:r w:rsidR="00C42655" w:rsidRPr="005F1594">
        <w:rPr>
          <w:lang w:val="es-ES"/>
        </w:rPr>
        <w:t xml:space="preserve"> (72%)</w:t>
      </w:r>
      <w:r w:rsidR="005A2D28" w:rsidRPr="005F1594">
        <w:rPr>
          <w:lang w:val="es-ES"/>
        </w:rPr>
        <w:t xml:space="preserve">. </w:t>
      </w:r>
      <w:r w:rsidR="005F1594" w:rsidRPr="005F1594">
        <w:rPr>
          <w:lang w:val="es-ES"/>
        </w:rPr>
        <w:t>En</w:t>
      </w:r>
      <w:r w:rsidR="005F1594">
        <w:rPr>
          <w:lang w:val="es-ES"/>
        </w:rPr>
        <w:t xml:space="preserve"> 36</w:t>
      </w:r>
      <w:r w:rsidR="005F1594" w:rsidRPr="005F1594">
        <w:rPr>
          <w:lang w:val="es-ES"/>
        </w:rPr>
        <w:t xml:space="preserve"> casos se observó la presencia de </w:t>
      </w:r>
      <w:r w:rsidR="00E05A85">
        <w:rPr>
          <w:lang w:val="es-ES"/>
        </w:rPr>
        <w:t>anticuerpos</w:t>
      </w:r>
      <w:r w:rsidR="005F1594" w:rsidRPr="005F1594">
        <w:rPr>
          <w:lang w:val="es-ES"/>
        </w:rPr>
        <w:t xml:space="preserve"> calientes (</w:t>
      </w:r>
      <w:r w:rsidR="005F1594">
        <w:rPr>
          <w:lang w:val="es-ES"/>
        </w:rPr>
        <w:t>84</w:t>
      </w:r>
      <w:r w:rsidR="005F1594" w:rsidRPr="005F1594">
        <w:rPr>
          <w:lang w:val="es-ES"/>
        </w:rPr>
        <w:t xml:space="preserve">%) y en </w:t>
      </w:r>
      <w:r w:rsidR="00116D10">
        <w:rPr>
          <w:lang w:val="es-ES"/>
        </w:rPr>
        <w:t>7</w:t>
      </w:r>
      <w:r w:rsidR="005F1594" w:rsidRPr="005F1594">
        <w:rPr>
          <w:lang w:val="es-ES"/>
        </w:rPr>
        <w:t xml:space="preserve"> </w:t>
      </w:r>
      <w:r w:rsidR="00E05A85">
        <w:rPr>
          <w:lang w:val="es-ES"/>
        </w:rPr>
        <w:t>anticuerpos</w:t>
      </w:r>
      <w:r w:rsidR="005F1594" w:rsidRPr="005F1594">
        <w:rPr>
          <w:lang w:val="es-ES"/>
        </w:rPr>
        <w:t xml:space="preserve"> fríos. </w:t>
      </w:r>
      <w:r w:rsidR="00265184" w:rsidRPr="005F1594">
        <w:rPr>
          <w:lang w:val="es-ES"/>
        </w:rPr>
        <w:t>Un 72% de los pacientes tuvo una causa subyacente, y 58% correspondió</w:t>
      </w:r>
      <w:r w:rsidR="00EE200C" w:rsidRPr="005F1594">
        <w:rPr>
          <w:lang w:val="es-ES"/>
        </w:rPr>
        <w:t xml:space="preserve"> a </w:t>
      </w:r>
      <w:r w:rsidR="00BA6E6C">
        <w:rPr>
          <w:lang w:val="es-ES"/>
        </w:rPr>
        <w:t>un síndrome linfoproliferativo</w:t>
      </w:r>
      <w:r w:rsidR="00EE200C" w:rsidRPr="005F1594">
        <w:rPr>
          <w:lang w:val="es-ES"/>
        </w:rPr>
        <w:t>.</w:t>
      </w:r>
      <w:r w:rsidR="00BD0D67">
        <w:rPr>
          <w:lang w:val="es-ES"/>
        </w:rPr>
        <w:t xml:space="preserve"> Todos l</w:t>
      </w:r>
      <w:r w:rsidR="00BD0D67" w:rsidRPr="00CF645D">
        <w:rPr>
          <w:lang w:val="es-ES"/>
        </w:rPr>
        <w:t>os pacientes</w:t>
      </w:r>
      <w:r w:rsidR="00A373F4">
        <w:rPr>
          <w:lang w:val="es-ES"/>
        </w:rPr>
        <w:t>, excepto 2,</w:t>
      </w:r>
      <w:r w:rsidR="00E7693A">
        <w:rPr>
          <w:lang w:val="es-ES"/>
        </w:rPr>
        <w:t xml:space="preserve"> </w:t>
      </w:r>
      <w:r w:rsidR="00BD0D67" w:rsidRPr="00CF645D">
        <w:rPr>
          <w:lang w:val="es-ES"/>
        </w:rPr>
        <w:t>recibi</w:t>
      </w:r>
      <w:r w:rsidR="00BD0D67">
        <w:rPr>
          <w:lang w:val="es-ES"/>
        </w:rPr>
        <w:t>eron</w:t>
      </w:r>
      <w:r w:rsidR="00BD0D67" w:rsidRPr="00CF645D">
        <w:rPr>
          <w:lang w:val="es-ES"/>
        </w:rPr>
        <w:t xml:space="preserve"> corticoides como tratamiento </w:t>
      </w:r>
      <w:r w:rsidR="00BD0D67">
        <w:rPr>
          <w:lang w:val="es-ES"/>
        </w:rPr>
        <w:t>inicial</w:t>
      </w:r>
      <w:r w:rsidR="00BD0D67" w:rsidRPr="00CF645D">
        <w:rPr>
          <w:lang w:val="es-ES"/>
        </w:rPr>
        <w:t>, logr</w:t>
      </w:r>
      <w:r w:rsidR="00E7693A">
        <w:rPr>
          <w:lang w:val="es-ES"/>
        </w:rPr>
        <w:t>ando</w:t>
      </w:r>
      <w:r w:rsidR="00BD0D67" w:rsidRPr="00CF645D">
        <w:rPr>
          <w:lang w:val="es-ES"/>
        </w:rPr>
        <w:t xml:space="preserve"> respuesta en </w:t>
      </w:r>
      <w:r w:rsidR="00A373F4">
        <w:rPr>
          <w:lang w:val="es-ES"/>
        </w:rPr>
        <w:t>37 (90</w:t>
      </w:r>
      <w:r w:rsidR="00BD0D67" w:rsidRPr="001E7791">
        <w:rPr>
          <w:lang w:val="es-ES"/>
        </w:rPr>
        <w:t>%).</w:t>
      </w:r>
      <w:r w:rsidR="00A373F4">
        <w:rPr>
          <w:lang w:val="es-ES"/>
        </w:rPr>
        <w:t xml:space="preserve"> Tres</w:t>
      </w:r>
      <w:r w:rsidR="00E7693A" w:rsidRPr="001E7791">
        <w:rPr>
          <w:lang w:val="es-ES"/>
        </w:rPr>
        <w:t xml:space="preserve"> pacientes r</w:t>
      </w:r>
      <w:r w:rsidR="00A56BC9">
        <w:rPr>
          <w:lang w:val="es-ES"/>
        </w:rPr>
        <w:t>efra</w:t>
      </w:r>
      <w:r w:rsidR="00A56BC9">
        <w:rPr>
          <w:lang w:val="es-ES"/>
        </w:rPr>
        <w:t>c</w:t>
      </w:r>
      <w:r w:rsidR="00A56BC9">
        <w:rPr>
          <w:lang w:val="es-ES"/>
        </w:rPr>
        <w:t>tarios recibieron R</w:t>
      </w:r>
      <w:r w:rsidR="00E7693A" w:rsidRPr="001E7791">
        <w:rPr>
          <w:lang w:val="es-ES"/>
        </w:rPr>
        <w:t>ituximab</w:t>
      </w:r>
      <w:r w:rsidR="00904007" w:rsidRPr="001E7791">
        <w:rPr>
          <w:lang w:val="es-ES"/>
        </w:rPr>
        <w:t>,</w:t>
      </w:r>
      <w:r w:rsidR="00E7693A" w:rsidRPr="001E7791">
        <w:rPr>
          <w:lang w:val="es-ES"/>
        </w:rPr>
        <w:t xml:space="preserve"> con respuesta en </w:t>
      </w:r>
      <w:r w:rsidR="007C48DF">
        <w:rPr>
          <w:lang w:val="es-ES"/>
        </w:rPr>
        <w:t>todos, aunque 1 recayó</w:t>
      </w:r>
      <w:r w:rsidR="00E7693A" w:rsidRPr="001E7791">
        <w:rPr>
          <w:lang w:val="es-ES"/>
        </w:rPr>
        <w:t>.</w:t>
      </w:r>
      <w:r w:rsidR="00E7693A">
        <w:rPr>
          <w:lang w:val="es-ES"/>
        </w:rPr>
        <w:t xml:space="preserve"> </w:t>
      </w:r>
      <w:r w:rsidR="00BD751E" w:rsidRPr="005F1594">
        <w:rPr>
          <w:lang w:val="es-ES"/>
        </w:rPr>
        <w:t xml:space="preserve">El </w:t>
      </w:r>
      <w:r w:rsidR="005C28B5" w:rsidRPr="005F1594">
        <w:rPr>
          <w:lang w:val="es-ES"/>
        </w:rPr>
        <w:t>seguimiento m</w:t>
      </w:r>
      <w:r w:rsidR="005C28B5" w:rsidRPr="005F1594">
        <w:rPr>
          <w:lang w:val="es-ES"/>
        </w:rPr>
        <w:t>e</w:t>
      </w:r>
      <w:r w:rsidR="005C28B5" w:rsidRPr="005F1594">
        <w:rPr>
          <w:lang w:val="es-ES"/>
        </w:rPr>
        <w:t>dio fue 38 meses</w:t>
      </w:r>
      <w:r w:rsidR="00BD751E" w:rsidRPr="005F1594">
        <w:rPr>
          <w:lang w:val="es-ES"/>
        </w:rPr>
        <w:t xml:space="preserve"> </w:t>
      </w:r>
      <w:r w:rsidR="00E7693A">
        <w:rPr>
          <w:lang w:val="es-ES"/>
        </w:rPr>
        <w:t>(</w:t>
      </w:r>
      <w:r w:rsidR="00BD751E" w:rsidRPr="005F1594">
        <w:rPr>
          <w:lang w:val="es-ES"/>
        </w:rPr>
        <w:t xml:space="preserve">rango </w:t>
      </w:r>
      <w:r w:rsidR="00E7693A">
        <w:rPr>
          <w:lang w:val="es-ES"/>
        </w:rPr>
        <w:t>2-</w:t>
      </w:r>
      <w:r w:rsidR="00BD751E" w:rsidRPr="005F1594">
        <w:rPr>
          <w:lang w:val="es-ES"/>
        </w:rPr>
        <w:t>98 meses</w:t>
      </w:r>
      <w:r w:rsidR="00E7693A">
        <w:rPr>
          <w:lang w:val="es-ES"/>
        </w:rPr>
        <w:t>)</w:t>
      </w:r>
      <w:r w:rsidR="00BD751E" w:rsidRPr="005F1594">
        <w:rPr>
          <w:lang w:val="es-ES"/>
        </w:rPr>
        <w:t xml:space="preserve">. </w:t>
      </w:r>
      <w:r w:rsidR="00D918A6" w:rsidRPr="005F1594">
        <w:rPr>
          <w:lang w:val="es-ES"/>
        </w:rPr>
        <w:t xml:space="preserve">La </w:t>
      </w:r>
      <w:r w:rsidR="00E7693A">
        <w:rPr>
          <w:lang w:val="es-ES"/>
        </w:rPr>
        <w:t>sobrevida global (</w:t>
      </w:r>
      <w:r w:rsidR="00D918A6" w:rsidRPr="005F1594">
        <w:rPr>
          <w:lang w:val="es-ES"/>
        </w:rPr>
        <w:t>SG</w:t>
      </w:r>
      <w:r w:rsidR="00E7693A">
        <w:rPr>
          <w:lang w:val="es-ES"/>
        </w:rPr>
        <w:t>)</w:t>
      </w:r>
      <w:r w:rsidR="00D918A6" w:rsidRPr="005F1594">
        <w:rPr>
          <w:lang w:val="es-ES"/>
        </w:rPr>
        <w:t xml:space="preserve"> a 5 años fue 72</w:t>
      </w:r>
      <w:r w:rsidR="00523156" w:rsidRPr="005F1594">
        <w:rPr>
          <w:lang w:val="es-ES"/>
        </w:rPr>
        <w:t>%.</w:t>
      </w:r>
      <w:r w:rsidR="00570CF1">
        <w:rPr>
          <w:lang w:val="es-ES"/>
        </w:rPr>
        <w:t xml:space="preserve"> </w:t>
      </w:r>
      <w:r w:rsidR="00972DA9" w:rsidRPr="00CD1D2F">
        <w:rPr>
          <w:b/>
          <w:lang w:val="es-ES"/>
        </w:rPr>
        <w:t>Concl</w:t>
      </w:r>
      <w:r w:rsidR="00972DA9" w:rsidRPr="00CD1D2F">
        <w:rPr>
          <w:b/>
          <w:lang w:val="es-ES"/>
        </w:rPr>
        <w:t>u</w:t>
      </w:r>
      <w:r w:rsidR="00972DA9" w:rsidRPr="00CD1D2F">
        <w:rPr>
          <w:b/>
          <w:lang w:val="es-ES"/>
        </w:rPr>
        <w:t>sión</w:t>
      </w:r>
      <w:r w:rsidR="007319C5" w:rsidRPr="00CD1D2F">
        <w:rPr>
          <w:lang w:val="es-ES"/>
        </w:rPr>
        <w:t xml:space="preserve">. </w:t>
      </w:r>
      <w:r w:rsidR="00393A34" w:rsidRPr="00393A34">
        <w:rPr>
          <w:lang w:val="es-ES"/>
        </w:rPr>
        <w:t xml:space="preserve">La AHAI es una enfermedad heterogénea en su presentación, siendo principalmente por anticuerpos calientes </w:t>
      </w:r>
      <w:r w:rsidR="00393A34">
        <w:rPr>
          <w:lang w:val="es-ES"/>
        </w:rPr>
        <w:t>y de causa secundaria en nuestro análisis retrospectivo</w:t>
      </w:r>
      <w:r w:rsidR="00393A34" w:rsidRPr="00393A34">
        <w:rPr>
          <w:lang w:val="es-ES"/>
        </w:rPr>
        <w:t>, lo que también ha sido reportado en recientes revisiones.</w:t>
      </w:r>
    </w:p>
    <w:p w14:paraId="31CB1210" w14:textId="77777777" w:rsidR="00D17C2E" w:rsidRPr="00DD6AE7" w:rsidRDefault="00D17C2E" w:rsidP="002075F6">
      <w:pPr>
        <w:spacing w:line="360" w:lineRule="auto"/>
        <w:rPr>
          <w:rFonts w:eastAsia="Times New Roman"/>
          <w:color w:val="000000" w:themeColor="text1"/>
          <w:lang w:val="es-CL"/>
        </w:rPr>
      </w:pPr>
      <w:r w:rsidRPr="00DD6AE7">
        <w:rPr>
          <w:b/>
          <w:lang w:val="es-CL"/>
        </w:rPr>
        <w:t>Palabras claves</w:t>
      </w:r>
      <w:r w:rsidRPr="00DD6AE7">
        <w:rPr>
          <w:lang w:val="es-CL"/>
        </w:rPr>
        <w:t xml:space="preserve">: Anemia </w:t>
      </w:r>
      <w:r w:rsidR="00B54611" w:rsidRPr="00DD6AE7">
        <w:rPr>
          <w:lang w:val="es-CL"/>
        </w:rPr>
        <w:t>h</w:t>
      </w:r>
      <w:r w:rsidRPr="00DD6AE7">
        <w:rPr>
          <w:lang w:val="es-CL"/>
        </w:rPr>
        <w:t>emolítica</w:t>
      </w:r>
      <w:r w:rsidR="00CE1ECB" w:rsidRPr="00DD6AE7">
        <w:rPr>
          <w:lang w:val="es-CL"/>
        </w:rPr>
        <w:t xml:space="preserve"> </w:t>
      </w:r>
      <w:r w:rsidR="00B54611" w:rsidRPr="00DD6AE7">
        <w:rPr>
          <w:lang w:val="es-CL"/>
        </w:rPr>
        <w:t>a</w:t>
      </w:r>
      <w:r w:rsidRPr="00DD6AE7">
        <w:rPr>
          <w:lang w:val="es-CL"/>
        </w:rPr>
        <w:t>utoinmune,</w:t>
      </w:r>
      <w:r w:rsidR="00CE1ECB" w:rsidRPr="00DD6AE7">
        <w:rPr>
          <w:lang w:val="es-CL"/>
        </w:rPr>
        <w:t xml:space="preserve"> </w:t>
      </w:r>
      <w:hyperlink r:id="rId8" w:history="1">
        <w:r w:rsidRPr="00DD6AE7">
          <w:rPr>
            <w:rStyle w:val="Hipervnculo"/>
            <w:rFonts w:eastAsia="Times New Roman"/>
            <w:color w:val="000000" w:themeColor="text1"/>
            <w:u w:val="none"/>
            <w:lang w:val="es-CL"/>
          </w:rPr>
          <w:t>autoanticuerpos</w:t>
        </w:r>
      </w:hyperlink>
      <w:r w:rsidRPr="00DD6AE7">
        <w:rPr>
          <w:rStyle w:val="Hipervnculo"/>
          <w:rFonts w:eastAsia="Times New Roman"/>
          <w:color w:val="000000" w:themeColor="text1"/>
          <w:u w:val="none"/>
          <w:lang w:val="es-CL"/>
        </w:rPr>
        <w:t xml:space="preserve">, </w:t>
      </w:r>
      <w:r w:rsidR="00220EAF" w:rsidRPr="00DD6AE7">
        <w:rPr>
          <w:rStyle w:val="Hipervnculo"/>
          <w:rFonts w:eastAsia="Times New Roman"/>
          <w:color w:val="000000" w:themeColor="text1"/>
          <w:u w:val="none"/>
          <w:lang w:val="es-CL"/>
        </w:rPr>
        <w:t>corticoides</w:t>
      </w:r>
      <w:r w:rsidR="009E5948" w:rsidRPr="00DD6AE7">
        <w:rPr>
          <w:rFonts w:eastAsia="Times New Roman"/>
          <w:color w:val="000000" w:themeColor="text1"/>
          <w:lang w:val="es-CL"/>
        </w:rPr>
        <w:t>, rituximab</w:t>
      </w:r>
      <w:r w:rsidR="00CE1ECB" w:rsidRPr="00DD6AE7">
        <w:rPr>
          <w:rFonts w:eastAsia="Times New Roman"/>
          <w:color w:val="000000" w:themeColor="text1"/>
          <w:lang w:val="es-CL"/>
        </w:rPr>
        <w:t>.</w:t>
      </w:r>
    </w:p>
    <w:p w14:paraId="5680C288" w14:textId="77777777" w:rsidR="00D17C2E" w:rsidRPr="00DD6AE7" w:rsidRDefault="00D17C2E" w:rsidP="002075F6">
      <w:pPr>
        <w:spacing w:line="360" w:lineRule="auto"/>
        <w:rPr>
          <w:b/>
          <w:lang w:val="es-CL"/>
        </w:rPr>
      </w:pPr>
      <w:r w:rsidRPr="00DD6AE7">
        <w:rPr>
          <w:b/>
          <w:lang w:val="es-CL"/>
        </w:rPr>
        <w:br w:type="page"/>
      </w:r>
    </w:p>
    <w:p w14:paraId="24B3C9A1" w14:textId="77777777" w:rsidR="00893E8D" w:rsidRPr="005F1594" w:rsidRDefault="00B12E1C" w:rsidP="002075F6">
      <w:pPr>
        <w:widowControl w:val="0"/>
        <w:autoSpaceDE w:val="0"/>
        <w:autoSpaceDN w:val="0"/>
        <w:adjustRightInd w:val="0"/>
        <w:spacing w:line="360" w:lineRule="auto"/>
        <w:rPr>
          <w:b/>
          <w:lang w:val="en-US"/>
        </w:rPr>
      </w:pPr>
      <w:r w:rsidRPr="005F1594">
        <w:rPr>
          <w:b/>
          <w:lang w:val="en-US"/>
        </w:rPr>
        <w:lastRenderedPageBreak/>
        <w:t>Abstract</w:t>
      </w:r>
    </w:p>
    <w:p w14:paraId="204AE062" w14:textId="1C91823C" w:rsidR="00A27970" w:rsidRPr="00A672EA" w:rsidRDefault="00012755" w:rsidP="00A27970">
      <w:pPr>
        <w:spacing w:line="360" w:lineRule="auto"/>
        <w:rPr>
          <w:rFonts w:eastAsia="Times New Roman"/>
          <w:lang w:val="en-US"/>
        </w:rPr>
      </w:pPr>
      <w:r w:rsidRPr="00F17E20">
        <w:rPr>
          <w:b/>
          <w:lang w:val="en-US"/>
        </w:rPr>
        <w:t>Background.</w:t>
      </w:r>
      <w:r w:rsidRPr="005F1594">
        <w:rPr>
          <w:lang w:val="en-US"/>
        </w:rPr>
        <w:t xml:space="preserve"> </w:t>
      </w:r>
      <w:r w:rsidR="00A9211B" w:rsidRPr="005F1594">
        <w:rPr>
          <w:lang w:val="en-US"/>
        </w:rPr>
        <w:t>Autoimmune hemolytic anemia (A</w:t>
      </w:r>
      <w:r w:rsidR="00D42B2E">
        <w:rPr>
          <w:lang w:val="en-US"/>
        </w:rPr>
        <w:t>I</w:t>
      </w:r>
      <w:r w:rsidR="00A9211B" w:rsidRPr="005F1594">
        <w:rPr>
          <w:lang w:val="en-US"/>
        </w:rPr>
        <w:t xml:space="preserve">HA) is </w:t>
      </w:r>
      <w:r w:rsidR="00D42B2E" w:rsidRPr="005F1594">
        <w:rPr>
          <w:lang w:val="en-US"/>
        </w:rPr>
        <w:t>an</w:t>
      </w:r>
      <w:r w:rsidR="00D42B2E">
        <w:rPr>
          <w:lang w:val="en-US"/>
        </w:rPr>
        <w:t xml:space="preserve"> </w:t>
      </w:r>
      <w:r w:rsidR="00A9211B" w:rsidRPr="005F1594">
        <w:rPr>
          <w:lang w:val="en-US"/>
        </w:rPr>
        <w:t xml:space="preserve">uncommon disease. </w:t>
      </w:r>
      <w:r w:rsidR="00D42B2E">
        <w:rPr>
          <w:lang w:val="en-US"/>
        </w:rPr>
        <w:t xml:space="preserve">In </w:t>
      </w:r>
      <w:r w:rsidR="00005A3F">
        <w:rPr>
          <w:lang w:val="en-US"/>
        </w:rPr>
        <w:t>can be severe in its presentation,</w:t>
      </w:r>
      <w:r w:rsidR="00D42B2E">
        <w:rPr>
          <w:lang w:val="en-US"/>
        </w:rPr>
        <w:t xml:space="preserve"> and even lethal.</w:t>
      </w:r>
      <w:r w:rsidR="00A9211B" w:rsidRPr="005F1594">
        <w:rPr>
          <w:lang w:val="en-US"/>
        </w:rPr>
        <w:t xml:space="preserve"> There </w:t>
      </w:r>
      <w:r w:rsidR="00AA22A7">
        <w:rPr>
          <w:lang w:val="en-US"/>
        </w:rPr>
        <w:t xml:space="preserve">is only one clinical </w:t>
      </w:r>
      <w:r w:rsidR="00005A3F">
        <w:rPr>
          <w:lang w:val="en-US"/>
        </w:rPr>
        <w:t xml:space="preserve">case </w:t>
      </w:r>
      <w:r w:rsidR="00DE498F">
        <w:rPr>
          <w:lang w:val="en-US"/>
        </w:rPr>
        <w:t>report con</w:t>
      </w:r>
      <w:r w:rsidR="003160B1">
        <w:rPr>
          <w:lang w:val="en-US"/>
        </w:rPr>
        <w:t>c</w:t>
      </w:r>
      <w:r w:rsidR="00DE498F">
        <w:rPr>
          <w:lang w:val="en-US"/>
        </w:rPr>
        <w:t>erning</w:t>
      </w:r>
      <w:r w:rsidR="00A9211B" w:rsidRPr="005F1594">
        <w:rPr>
          <w:lang w:val="en-US"/>
        </w:rPr>
        <w:t xml:space="preserve"> </w:t>
      </w:r>
      <w:r w:rsidR="009D028E" w:rsidRPr="005F1594">
        <w:rPr>
          <w:lang w:val="en-US"/>
        </w:rPr>
        <w:t>this pathology</w:t>
      </w:r>
      <w:r w:rsidR="00A9211B" w:rsidRPr="005F1594">
        <w:rPr>
          <w:lang w:val="en-US"/>
        </w:rPr>
        <w:t xml:space="preserve"> in Chile. </w:t>
      </w:r>
      <w:r w:rsidR="00A9211B" w:rsidRPr="00F17E20">
        <w:rPr>
          <w:b/>
          <w:lang w:val="en-US"/>
        </w:rPr>
        <w:t>Objective.</w:t>
      </w:r>
      <w:r w:rsidR="00005A3F">
        <w:rPr>
          <w:lang w:val="en-US"/>
        </w:rPr>
        <w:t xml:space="preserve"> To d</w:t>
      </w:r>
      <w:r w:rsidR="00A9211B" w:rsidRPr="005F1594">
        <w:rPr>
          <w:lang w:val="en-US"/>
        </w:rPr>
        <w:t>escribe the clinical characteristics and evolution</w:t>
      </w:r>
      <w:r w:rsidR="008F0668">
        <w:rPr>
          <w:lang w:val="en-US"/>
        </w:rPr>
        <w:t xml:space="preserve"> of</w:t>
      </w:r>
      <w:r w:rsidR="00A9211B" w:rsidRPr="005F1594">
        <w:rPr>
          <w:lang w:val="en-US"/>
        </w:rPr>
        <w:t xml:space="preserve"> </w:t>
      </w:r>
      <w:r w:rsidR="00A27559">
        <w:rPr>
          <w:lang w:val="en-US"/>
        </w:rPr>
        <w:t xml:space="preserve">adult </w:t>
      </w:r>
      <w:r w:rsidR="00D42B2E">
        <w:rPr>
          <w:lang w:val="en-US"/>
        </w:rPr>
        <w:t>AIHA inpatients</w:t>
      </w:r>
      <w:r w:rsidR="00A27559">
        <w:rPr>
          <w:lang w:val="en-US"/>
        </w:rPr>
        <w:t xml:space="preserve">. </w:t>
      </w:r>
      <w:r w:rsidR="00A9211B" w:rsidRPr="00F17E20">
        <w:rPr>
          <w:b/>
          <w:lang w:val="en-US"/>
        </w:rPr>
        <w:t>Mate</w:t>
      </w:r>
      <w:r w:rsidR="00F17E20" w:rsidRPr="00F17E20">
        <w:rPr>
          <w:b/>
          <w:lang w:val="en-US"/>
        </w:rPr>
        <w:t>rials and Methods.</w:t>
      </w:r>
      <w:r w:rsidR="00A9211B" w:rsidRPr="005F1594">
        <w:rPr>
          <w:lang w:val="en-US"/>
        </w:rPr>
        <w:t xml:space="preserve"> Retrospective review of</w:t>
      </w:r>
      <w:r w:rsidR="00A27559">
        <w:rPr>
          <w:lang w:val="en-US"/>
        </w:rPr>
        <w:t xml:space="preserve"> clinical</w:t>
      </w:r>
      <w:r w:rsidR="00A9211B" w:rsidRPr="005F1594">
        <w:rPr>
          <w:lang w:val="en-US"/>
        </w:rPr>
        <w:t xml:space="preserve"> records </w:t>
      </w:r>
      <w:r w:rsidR="00A27559" w:rsidRPr="005F1594">
        <w:rPr>
          <w:lang w:val="en-US"/>
        </w:rPr>
        <w:t xml:space="preserve">of </w:t>
      </w:r>
      <w:r w:rsidR="00A27559">
        <w:rPr>
          <w:lang w:val="en-US"/>
        </w:rPr>
        <w:t xml:space="preserve">adult </w:t>
      </w:r>
      <w:r w:rsidR="009D028E" w:rsidRPr="005F1594">
        <w:rPr>
          <w:lang w:val="en-US"/>
        </w:rPr>
        <w:t>A</w:t>
      </w:r>
      <w:r w:rsidR="00A27559">
        <w:rPr>
          <w:lang w:val="en-US"/>
        </w:rPr>
        <w:t>I</w:t>
      </w:r>
      <w:r w:rsidR="009D028E" w:rsidRPr="005F1594">
        <w:rPr>
          <w:lang w:val="en-US"/>
        </w:rPr>
        <w:t>HA</w:t>
      </w:r>
      <w:r w:rsidR="00A9211B" w:rsidRPr="005F1594">
        <w:rPr>
          <w:lang w:val="en-US"/>
        </w:rPr>
        <w:t xml:space="preserve"> </w:t>
      </w:r>
      <w:r w:rsidR="00A27559">
        <w:rPr>
          <w:lang w:val="en-US"/>
        </w:rPr>
        <w:t>in</w:t>
      </w:r>
      <w:r w:rsidR="00005A3F">
        <w:rPr>
          <w:lang w:val="en-US"/>
        </w:rPr>
        <w:t>-</w:t>
      </w:r>
      <w:r w:rsidR="00A27559">
        <w:rPr>
          <w:lang w:val="en-US"/>
        </w:rPr>
        <w:t>patients between J</w:t>
      </w:r>
      <w:r w:rsidR="00A27559" w:rsidRPr="005F1594">
        <w:rPr>
          <w:lang w:val="en-US"/>
        </w:rPr>
        <w:t>anu</w:t>
      </w:r>
      <w:r w:rsidR="00A27559">
        <w:rPr>
          <w:lang w:val="en-US"/>
        </w:rPr>
        <w:t>ary</w:t>
      </w:r>
      <w:r w:rsidR="00F17E20">
        <w:rPr>
          <w:lang w:val="en-US"/>
        </w:rPr>
        <w:t xml:space="preserve"> 201</w:t>
      </w:r>
      <w:r w:rsidR="00A27559">
        <w:rPr>
          <w:lang w:val="en-US"/>
        </w:rPr>
        <w:t>0 and J</w:t>
      </w:r>
      <w:r w:rsidR="00A27559" w:rsidRPr="005F1594">
        <w:rPr>
          <w:lang w:val="en-US"/>
        </w:rPr>
        <w:t>une</w:t>
      </w:r>
      <w:r w:rsidR="00A9211B" w:rsidRPr="005F1594">
        <w:rPr>
          <w:lang w:val="en-US"/>
        </w:rPr>
        <w:t xml:space="preserve"> 2018. Demographic, clinical, laboratory and therapeutic informa</w:t>
      </w:r>
      <w:r w:rsidR="0098794A">
        <w:rPr>
          <w:lang w:val="en-US"/>
        </w:rPr>
        <w:t xml:space="preserve">tion </w:t>
      </w:r>
      <w:r w:rsidR="00A27559">
        <w:rPr>
          <w:lang w:val="en-US"/>
        </w:rPr>
        <w:t>was</w:t>
      </w:r>
      <w:r w:rsidR="00A9211B" w:rsidRPr="005F1594">
        <w:rPr>
          <w:lang w:val="en-US"/>
        </w:rPr>
        <w:t xml:space="preserve"> analyzed. A descriptive</w:t>
      </w:r>
      <w:r w:rsidR="00A27559">
        <w:rPr>
          <w:lang w:val="en-US"/>
        </w:rPr>
        <w:t>, analytical and sur</w:t>
      </w:r>
      <w:r w:rsidR="00005A3F">
        <w:rPr>
          <w:lang w:val="en-US"/>
        </w:rPr>
        <w:t xml:space="preserve">vival analysis was performed. </w:t>
      </w:r>
      <w:r w:rsidR="00A9211B" w:rsidRPr="003C6F33">
        <w:rPr>
          <w:b/>
          <w:lang w:val="en-US"/>
        </w:rPr>
        <w:t>Results</w:t>
      </w:r>
      <w:r w:rsidR="009721E9" w:rsidRPr="005F1594">
        <w:rPr>
          <w:lang w:val="en-US"/>
        </w:rPr>
        <w:t>.</w:t>
      </w:r>
      <w:r w:rsidR="00A9211B" w:rsidRPr="005F1594">
        <w:rPr>
          <w:lang w:val="en-US"/>
        </w:rPr>
        <w:t xml:space="preserve"> </w:t>
      </w:r>
      <w:r w:rsidR="00E05A85">
        <w:rPr>
          <w:rStyle w:val="tlid-translation"/>
          <w:rFonts w:eastAsia="Times New Roman"/>
          <w:lang w:val="en"/>
        </w:rPr>
        <w:t>43 ad</w:t>
      </w:r>
      <w:r w:rsidR="00005A3F">
        <w:rPr>
          <w:rStyle w:val="tlid-translation"/>
          <w:rFonts w:eastAsia="Times New Roman"/>
          <w:lang w:val="en"/>
        </w:rPr>
        <w:t>ult patients diagnosed with AIHA</w:t>
      </w:r>
      <w:r w:rsidR="00E05A85">
        <w:rPr>
          <w:rStyle w:val="tlid-translation"/>
          <w:rFonts w:eastAsia="Times New Roman"/>
          <w:lang w:val="en"/>
        </w:rPr>
        <w:t xml:space="preserve"> were hospitalized in a period of 8 years.</w:t>
      </w:r>
      <w:r w:rsidR="00E05A85" w:rsidRPr="00A672EA">
        <w:rPr>
          <w:rFonts w:eastAsia="Times New Roman"/>
          <w:lang w:val="en-US"/>
        </w:rPr>
        <w:t xml:space="preserve"> </w:t>
      </w:r>
      <w:r w:rsidR="0098794A">
        <w:rPr>
          <w:lang w:val="en-US"/>
        </w:rPr>
        <w:t>M</w:t>
      </w:r>
      <w:r w:rsidR="002005F8" w:rsidRPr="005F1594">
        <w:rPr>
          <w:lang w:val="en-US"/>
        </w:rPr>
        <w:t>edian</w:t>
      </w:r>
      <w:r w:rsidR="00A9211B" w:rsidRPr="005F1594">
        <w:rPr>
          <w:lang w:val="en-US"/>
        </w:rPr>
        <w:t xml:space="preserve"> age was 63 years (range 22-86 years)</w:t>
      </w:r>
      <w:r w:rsidR="0098794A">
        <w:rPr>
          <w:lang w:val="en-US"/>
        </w:rPr>
        <w:t xml:space="preserve">, mostly </w:t>
      </w:r>
      <w:r w:rsidR="00A9211B" w:rsidRPr="005F1594">
        <w:rPr>
          <w:lang w:val="en-US"/>
        </w:rPr>
        <w:t xml:space="preserve">women </w:t>
      </w:r>
      <w:r w:rsidR="0098794A">
        <w:rPr>
          <w:lang w:val="en-US"/>
        </w:rPr>
        <w:t>(72%)</w:t>
      </w:r>
      <w:r w:rsidR="00A9211B" w:rsidRPr="005F1594">
        <w:rPr>
          <w:lang w:val="en-US"/>
        </w:rPr>
        <w:t xml:space="preserve">. </w:t>
      </w:r>
      <w:r w:rsidR="004F5CC4" w:rsidRPr="00D326FC">
        <w:rPr>
          <w:lang w:val="en-US"/>
        </w:rPr>
        <w:t>Warm antibodies were detected in 36 cas</w:t>
      </w:r>
      <w:r w:rsidR="004F5CC4">
        <w:rPr>
          <w:lang w:val="en-US"/>
        </w:rPr>
        <w:t>es</w:t>
      </w:r>
      <w:r w:rsidR="004F5CC4" w:rsidRPr="00D326FC">
        <w:rPr>
          <w:lang w:val="en-US"/>
        </w:rPr>
        <w:t xml:space="preserve"> (84%) </w:t>
      </w:r>
      <w:r w:rsidR="00DD6AE7">
        <w:rPr>
          <w:lang w:val="en-US"/>
        </w:rPr>
        <w:t>and cold antibodies in</w:t>
      </w:r>
      <w:r w:rsidR="004F5CC4">
        <w:rPr>
          <w:lang w:val="en-US"/>
        </w:rPr>
        <w:t xml:space="preserve"> seven.</w:t>
      </w:r>
      <w:r w:rsidR="004F5CC4" w:rsidRPr="004F5CC4">
        <w:rPr>
          <w:lang w:val="en-US"/>
        </w:rPr>
        <w:t xml:space="preserve"> </w:t>
      </w:r>
      <w:r w:rsidR="00116D10">
        <w:rPr>
          <w:lang w:val="en-US"/>
        </w:rPr>
        <w:t>72</w:t>
      </w:r>
      <w:r w:rsidR="00A9211B" w:rsidRPr="005F1594">
        <w:rPr>
          <w:lang w:val="en-US"/>
        </w:rPr>
        <w:t xml:space="preserve">% of the patients had an underlying cause, and 58% </w:t>
      </w:r>
      <w:r w:rsidR="00D326FC">
        <w:rPr>
          <w:lang w:val="en-US"/>
        </w:rPr>
        <w:t>were due</w:t>
      </w:r>
      <w:r w:rsidR="00A9211B" w:rsidRPr="005F1594">
        <w:rPr>
          <w:lang w:val="en-US"/>
        </w:rPr>
        <w:t xml:space="preserve"> to </w:t>
      </w:r>
      <w:r w:rsidR="002005F8" w:rsidRPr="005F1594">
        <w:rPr>
          <w:lang w:val="en-US"/>
        </w:rPr>
        <w:t>mature lymphoid neoplasm</w:t>
      </w:r>
      <w:r w:rsidR="00A9211B" w:rsidRPr="005F1594">
        <w:rPr>
          <w:lang w:val="en-US"/>
        </w:rPr>
        <w:t>.</w:t>
      </w:r>
      <w:r w:rsidR="002005F8" w:rsidRPr="005F1594">
        <w:rPr>
          <w:lang w:val="en-US"/>
        </w:rPr>
        <w:t xml:space="preserve"> </w:t>
      </w:r>
      <w:r w:rsidR="004F5CC4" w:rsidRPr="009141FB">
        <w:rPr>
          <w:lang w:val="en-US"/>
        </w:rPr>
        <w:t xml:space="preserve">All patients </w:t>
      </w:r>
      <w:r w:rsidR="00DD6AE7">
        <w:rPr>
          <w:lang w:val="en-US"/>
        </w:rPr>
        <w:t>except two</w:t>
      </w:r>
      <w:r w:rsidR="00A27970">
        <w:rPr>
          <w:lang w:val="en-US"/>
        </w:rPr>
        <w:t xml:space="preserve">, </w:t>
      </w:r>
      <w:r w:rsidR="004F5CC4" w:rsidRPr="009141FB">
        <w:rPr>
          <w:lang w:val="en-US"/>
        </w:rPr>
        <w:t>received steroids</w:t>
      </w:r>
      <w:r w:rsidR="00A27970">
        <w:rPr>
          <w:lang w:val="en-US"/>
        </w:rPr>
        <w:t xml:space="preserve"> as initial treatment</w:t>
      </w:r>
      <w:r w:rsidR="004F5CC4" w:rsidRPr="009141FB">
        <w:rPr>
          <w:lang w:val="en-US"/>
        </w:rPr>
        <w:t>,</w:t>
      </w:r>
      <w:r w:rsidR="00DD6AE7">
        <w:rPr>
          <w:lang w:val="en-US"/>
        </w:rPr>
        <w:t xml:space="preserve"> with response in 37 (90</w:t>
      </w:r>
      <w:r w:rsidR="004F5CC4" w:rsidRPr="009141FB">
        <w:rPr>
          <w:lang w:val="en-US"/>
        </w:rPr>
        <w:t xml:space="preserve">%). </w:t>
      </w:r>
      <w:r w:rsidR="00DD6AE7">
        <w:rPr>
          <w:lang w:val="en-US"/>
        </w:rPr>
        <w:t>Three</w:t>
      </w:r>
      <w:r w:rsidR="00A27970" w:rsidRPr="00A27970">
        <w:rPr>
          <w:lang w:val="en-US"/>
        </w:rPr>
        <w:t xml:space="preserve"> refractory patients </w:t>
      </w:r>
      <w:r w:rsidR="00A27970" w:rsidRPr="001E7791">
        <w:rPr>
          <w:lang w:val="en-US"/>
        </w:rPr>
        <w:t xml:space="preserve">received rituximab, </w:t>
      </w:r>
      <w:r w:rsidR="00DD6AE7">
        <w:rPr>
          <w:lang w:val="en-US"/>
        </w:rPr>
        <w:t>with response in all of them and relapse in one</w:t>
      </w:r>
      <w:r w:rsidR="00A27970" w:rsidRPr="001E7791">
        <w:rPr>
          <w:lang w:val="en-US"/>
        </w:rPr>
        <w:t>.</w:t>
      </w:r>
      <w:r w:rsidR="00A27970" w:rsidRPr="00A27970">
        <w:rPr>
          <w:lang w:val="en-US"/>
        </w:rPr>
        <w:t xml:space="preserve"> </w:t>
      </w:r>
      <w:r w:rsidR="004F5CC4" w:rsidRPr="00A27970">
        <w:rPr>
          <w:lang w:val="en-US"/>
        </w:rPr>
        <w:t xml:space="preserve"> </w:t>
      </w:r>
      <w:r w:rsidR="00A27970" w:rsidRPr="00A27970">
        <w:rPr>
          <w:lang w:val="en-US"/>
        </w:rPr>
        <w:t>M</w:t>
      </w:r>
      <w:r w:rsidR="00570CF1">
        <w:rPr>
          <w:lang w:val="en-US"/>
        </w:rPr>
        <w:t>e</w:t>
      </w:r>
      <w:r w:rsidR="00A27970">
        <w:rPr>
          <w:lang w:val="en-US"/>
        </w:rPr>
        <w:t>dian</w:t>
      </w:r>
      <w:r w:rsidR="002005F8" w:rsidRPr="005F1594">
        <w:rPr>
          <w:lang w:val="en-US"/>
        </w:rPr>
        <w:t xml:space="preserve"> follow-up was 38 months</w:t>
      </w:r>
      <w:r w:rsidR="00A27970">
        <w:rPr>
          <w:lang w:val="en-US"/>
        </w:rPr>
        <w:t xml:space="preserve"> (</w:t>
      </w:r>
      <w:r w:rsidR="00A9211B" w:rsidRPr="005F1594">
        <w:rPr>
          <w:lang w:val="en-US"/>
        </w:rPr>
        <w:t>range 2</w:t>
      </w:r>
      <w:r w:rsidR="00A27970">
        <w:rPr>
          <w:lang w:val="en-US"/>
        </w:rPr>
        <w:t>-</w:t>
      </w:r>
      <w:r w:rsidR="00A9211B" w:rsidRPr="005F1594">
        <w:rPr>
          <w:lang w:val="en-US"/>
        </w:rPr>
        <w:t>98</w:t>
      </w:r>
      <w:r w:rsidR="009721E9" w:rsidRPr="005F1594">
        <w:rPr>
          <w:lang w:val="en-US"/>
        </w:rPr>
        <w:t xml:space="preserve"> months</w:t>
      </w:r>
      <w:r w:rsidR="00A27970">
        <w:rPr>
          <w:lang w:val="en-US"/>
        </w:rPr>
        <w:t>)</w:t>
      </w:r>
      <w:r w:rsidR="009721E9" w:rsidRPr="005F1594">
        <w:rPr>
          <w:lang w:val="en-US"/>
        </w:rPr>
        <w:t xml:space="preserve">. </w:t>
      </w:r>
      <w:r w:rsidR="00A27970">
        <w:rPr>
          <w:lang w:val="en-US"/>
        </w:rPr>
        <w:t>Five year overall survival (O</w:t>
      </w:r>
      <w:r w:rsidR="009721E9" w:rsidRPr="005F1594">
        <w:rPr>
          <w:lang w:val="en-US"/>
        </w:rPr>
        <w:t>S</w:t>
      </w:r>
      <w:r w:rsidR="00A27970">
        <w:rPr>
          <w:lang w:val="en-US"/>
        </w:rPr>
        <w:t>)</w:t>
      </w:r>
      <w:r w:rsidR="009721E9" w:rsidRPr="005F1594">
        <w:rPr>
          <w:lang w:val="en-US"/>
        </w:rPr>
        <w:t xml:space="preserve"> was 72%. </w:t>
      </w:r>
      <w:r w:rsidR="002005F8" w:rsidRPr="0039666E">
        <w:rPr>
          <w:b/>
          <w:lang w:val="en-US"/>
        </w:rPr>
        <w:t>Conclusion.</w:t>
      </w:r>
      <w:r w:rsidR="002005F8" w:rsidRPr="005F1594">
        <w:rPr>
          <w:lang w:val="en-US"/>
        </w:rPr>
        <w:t xml:space="preserve"> </w:t>
      </w:r>
      <w:r w:rsidR="00AF7B0C">
        <w:rPr>
          <w:lang w:val="en-US"/>
        </w:rPr>
        <w:t xml:space="preserve">AHAI </w:t>
      </w:r>
      <w:r w:rsidR="00393A34">
        <w:rPr>
          <w:lang w:val="en-US"/>
        </w:rPr>
        <w:t>is a heterogeneous disease in i</w:t>
      </w:r>
      <w:r w:rsidR="00AF7B0C">
        <w:rPr>
          <w:lang w:val="en-US"/>
        </w:rPr>
        <w:t>ts presentation,</w:t>
      </w:r>
      <w:r w:rsidR="00393A34">
        <w:rPr>
          <w:lang w:val="en-US"/>
        </w:rPr>
        <w:t xml:space="preserve"> mainly due to warm antibodies and secondary etiology</w:t>
      </w:r>
      <w:r w:rsidR="00AF7B0C">
        <w:rPr>
          <w:lang w:val="en-US"/>
        </w:rPr>
        <w:t xml:space="preserve"> </w:t>
      </w:r>
      <w:r w:rsidR="00393A34">
        <w:rPr>
          <w:lang w:val="en-US"/>
        </w:rPr>
        <w:t>in our retrospective analysis, which has also been repor</w:t>
      </w:r>
      <w:r w:rsidR="00393A34">
        <w:rPr>
          <w:lang w:val="en-US"/>
        </w:rPr>
        <w:t>t</w:t>
      </w:r>
      <w:r w:rsidR="00393A34">
        <w:rPr>
          <w:lang w:val="en-US"/>
        </w:rPr>
        <w:t>ed in recent reviews.</w:t>
      </w:r>
    </w:p>
    <w:p w14:paraId="738EE099" w14:textId="77777777" w:rsidR="00A9211B" w:rsidRPr="00B54611" w:rsidRDefault="00A9211B" w:rsidP="00A9211B">
      <w:pPr>
        <w:widowControl w:val="0"/>
        <w:autoSpaceDE w:val="0"/>
        <w:autoSpaceDN w:val="0"/>
        <w:adjustRightInd w:val="0"/>
        <w:spacing w:line="360" w:lineRule="auto"/>
        <w:rPr>
          <w:lang w:val="en-US"/>
        </w:rPr>
      </w:pPr>
    </w:p>
    <w:p w14:paraId="4B4B34FC" w14:textId="77777777" w:rsidR="003D33FE" w:rsidRPr="005F1594" w:rsidRDefault="00A9211B" w:rsidP="00A9211B">
      <w:pPr>
        <w:widowControl w:val="0"/>
        <w:autoSpaceDE w:val="0"/>
        <w:autoSpaceDN w:val="0"/>
        <w:adjustRightInd w:val="0"/>
        <w:spacing w:line="360" w:lineRule="auto"/>
        <w:rPr>
          <w:color w:val="000000" w:themeColor="text1"/>
          <w:lang w:val="en-US"/>
        </w:rPr>
      </w:pPr>
      <w:r w:rsidRPr="005F1594">
        <w:rPr>
          <w:lang w:val="en-US"/>
        </w:rPr>
        <w:t>Key words: Autoimmune hemolytic anemia, autoantibodies, corticoids, rituximab.</w:t>
      </w:r>
    </w:p>
    <w:p w14:paraId="1F3C7480" w14:textId="77777777" w:rsidR="00634D63" w:rsidRPr="005F1594" w:rsidRDefault="00634D63" w:rsidP="002075F6">
      <w:pPr>
        <w:spacing w:line="360" w:lineRule="auto"/>
        <w:rPr>
          <w:b/>
          <w:color w:val="000000" w:themeColor="text1"/>
          <w:lang w:val="en-US"/>
        </w:rPr>
      </w:pPr>
    </w:p>
    <w:p w14:paraId="6D4E1AE1" w14:textId="77777777" w:rsidR="00634D63" w:rsidRPr="005F1594" w:rsidRDefault="00634D63" w:rsidP="002075F6">
      <w:pPr>
        <w:spacing w:line="360" w:lineRule="auto"/>
        <w:rPr>
          <w:b/>
          <w:color w:val="000000" w:themeColor="text1"/>
          <w:lang w:val="en-US"/>
        </w:rPr>
      </w:pPr>
    </w:p>
    <w:p w14:paraId="686A1568" w14:textId="77777777" w:rsidR="009F1661" w:rsidRPr="00DE498F" w:rsidRDefault="009F1661">
      <w:pPr>
        <w:rPr>
          <w:b/>
          <w:lang w:val="en-US"/>
        </w:rPr>
      </w:pPr>
      <w:r w:rsidRPr="00DE498F">
        <w:rPr>
          <w:b/>
          <w:lang w:val="en-US"/>
        </w:rPr>
        <w:br w:type="page"/>
      </w:r>
    </w:p>
    <w:p w14:paraId="48C437BC" w14:textId="77777777" w:rsidR="0070468D" w:rsidRPr="005F1594" w:rsidRDefault="0070468D" w:rsidP="002075F6">
      <w:pPr>
        <w:spacing w:line="360" w:lineRule="auto"/>
        <w:rPr>
          <w:b/>
        </w:rPr>
      </w:pPr>
      <w:r w:rsidRPr="005F1594">
        <w:rPr>
          <w:b/>
        </w:rPr>
        <w:lastRenderedPageBreak/>
        <w:t>Introducción</w:t>
      </w:r>
    </w:p>
    <w:p w14:paraId="2A9AF1ED" w14:textId="728D9109" w:rsidR="0093417F" w:rsidRPr="005F1594" w:rsidRDefault="0093417F" w:rsidP="00831EFE">
      <w:pPr>
        <w:spacing w:line="360" w:lineRule="auto"/>
        <w:rPr>
          <w:lang w:val="es-CL"/>
        </w:rPr>
      </w:pPr>
      <w:r w:rsidRPr="005F1594">
        <w:t xml:space="preserve">La anemia hemolítica autoinmune (AHAI) es una </w:t>
      </w:r>
      <w:r w:rsidR="00393A34">
        <w:t xml:space="preserve">enfermedad </w:t>
      </w:r>
      <w:r w:rsidRPr="005F1594">
        <w:t>infrecuente y heterogénea</w:t>
      </w:r>
      <w:r w:rsidR="00393A34">
        <w:t xml:space="preserve"> en su presentación</w:t>
      </w:r>
      <w:r w:rsidRPr="005F1594">
        <w:t>, causada por anticuerpos (Ig) di</w:t>
      </w:r>
      <w:r w:rsidR="00733F12">
        <w:t>rigidos contra antígenos (Ag) de la superf</w:t>
      </w:r>
      <w:r w:rsidR="00733F12">
        <w:t>i</w:t>
      </w:r>
      <w:r w:rsidR="00733F12">
        <w:t>cie de</w:t>
      </w:r>
      <w:r w:rsidRPr="005F1594">
        <w:t xml:space="preserve"> </w:t>
      </w:r>
      <w:r w:rsidR="00C779F1" w:rsidRPr="005F1594">
        <w:t xml:space="preserve">los </w:t>
      </w:r>
      <w:r w:rsidR="00393A34">
        <w:t>glóbulos rojos</w:t>
      </w:r>
      <w:r w:rsidR="000B1818" w:rsidRPr="005F1594">
        <w:t xml:space="preserve">. </w:t>
      </w:r>
      <w:r w:rsidR="00050E42" w:rsidRPr="005F1594">
        <w:t>Se estima una incidencia de 1</w:t>
      </w:r>
      <w:r w:rsidR="00EB7403">
        <w:t>-</w:t>
      </w:r>
      <w:r w:rsidR="00050E42" w:rsidRPr="005F1594">
        <w:t xml:space="preserve"> 3/100.000 habitantes por año (</w:t>
      </w:r>
      <w:r w:rsidR="002E4404">
        <w:t>1</w:t>
      </w:r>
      <w:r w:rsidR="00050E42" w:rsidRPr="005F1594">
        <w:t>).</w:t>
      </w:r>
      <w:r w:rsidR="00F143D7" w:rsidRPr="005F1594">
        <w:t xml:space="preserve"> Se clasifican de acuerdo </w:t>
      </w:r>
      <w:r w:rsidRPr="005F1594">
        <w:t xml:space="preserve">a </w:t>
      </w:r>
      <w:r w:rsidR="00F143D7" w:rsidRPr="005F1594">
        <w:t xml:space="preserve">las propiedades </w:t>
      </w:r>
      <w:r w:rsidR="00F877C6" w:rsidRPr="005F1594">
        <w:t xml:space="preserve">térmicas </w:t>
      </w:r>
      <w:r w:rsidR="00F143D7" w:rsidRPr="005F1594">
        <w:t xml:space="preserve">de los </w:t>
      </w:r>
      <w:r w:rsidR="00262CD9">
        <w:t>Ig</w:t>
      </w:r>
      <w:r w:rsidR="00F143D7" w:rsidRPr="005F1594">
        <w:t xml:space="preserve">, </w:t>
      </w:r>
      <w:r w:rsidRPr="005F1594">
        <w:t xml:space="preserve">en </w:t>
      </w:r>
      <w:r w:rsidR="00F143D7" w:rsidRPr="005F1594">
        <w:t xml:space="preserve">AHAI por </w:t>
      </w:r>
      <w:r w:rsidR="00262CD9">
        <w:t>Ig</w:t>
      </w:r>
      <w:r w:rsidR="00F143D7" w:rsidRPr="005F1594">
        <w:t xml:space="preserve"> calientes</w:t>
      </w:r>
      <w:r w:rsidR="00157ADC" w:rsidRPr="005F1594">
        <w:t xml:space="preserve"> </w:t>
      </w:r>
      <w:r w:rsidR="00EB7403">
        <w:t>80-90%</w:t>
      </w:r>
      <w:r w:rsidR="00AD779C" w:rsidRPr="005F1594">
        <w:t>,</w:t>
      </w:r>
      <w:r w:rsidR="00EB7403">
        <w:t xml:space="preserve"> </w:t>
      </w:r>
      <w:r w:rsidR="00262CD9">
        <w:t>Ig</w:t>
      </w:r>
      <w:r w:rsidR="00DE745B" w:rsidRPr="005F1594">
        <w:t xml:space="preserve"> fríos y mixtos</w:t>
      </w:r>
      <w:r w:rsidR="00F877C6" w:rsidRPr="005F1594">
        <w:t xml:space="preserve"> en el resto</w:t>
      </w:r>
      <w:r w:rsidR="00831EFE" w:rsidRPr="005F1594">
        <w:t xml:space="preserve"> (</w:t>
      </w:r>
      <w:r w:rsidR="00393A34">
        <w:t>1</w:t>
      </w:r>
      <w:r w:rsidR="00D17487">
        <w:t xml:space="preserve">, </w:t>
      </w:r>
      <w:r w:rsidR="000A2DD5">
        <w:t>4</w:t>
      </w:r>
      <w:r w:rsidR="00E00DC0" w:rsidRPr="002E4404">
        <w:rPr>
          <w:lang w:val="es-CL"/>
        </w:rPr>
        <w:t>)</w:t>
      </w:r>
      <w:r w:rsidR="00F877C6" w:rsidRPr="002E4404">
        <w:rPr>
          <w:lang w:val="es-CL"/>
        </w:rPr>
        <w:t xml:space="preserve">. </w:t>
      </w:r>
      <w:r w:rsidR="00393A34">
        <w:rPr>
          <w:lang w:val="es-CL"/>
        </w:rPr>
        <w:t>La AHAI puede ser subdividida en primaria (o idiopática)</w:t>
      </w:r>
      <w:r w:rsidR="00393A34">
        <w:t xml:space="preserve"> </w:t>
      </w:r>
      <w:r w:rsidR="003150AD" w:rsidRPr="005F1594">
        <w:t xml:space="preserve"> y secundaria</w:t>
      </w:r>
      <w:r w:rsidR="00393A34">
        <w:t xml:space="preserve"> dependiendo de la presencia o no de una causa </w:t>
      </w:r>
      <w:r w:rsidR="00130E27">
        <w:t>asociada (3)</w:t>
      </w:r>
      <w:r w:rsidR="003150AD" w:rsidRPr="005F1594">
        <w:t xml:space="preserve">.  </w:t>
      </w:r>
      <w:r w:rsidR="00EB7403">
        <w:t>A</w:t>
      </w:r>
      <w:r w:rsidR="003150AD" w:rsidRPr="005F1594">
        <w:t xml:space="preserve">proximadamente </w:t>
      </w:r>
      <w:r w:rsidR="00EB7403">
        <w:t xml:space="preserve">en </w:t>
      </w:r>
      <w:r w:rsidR="003150AD" w:rsidRPr="005F1594">
        <w:t>la mitad de lo</w:t>
      </w:r>
      <w:r w:rsidR="00733F12">
        <w:t xml:space="preserve">s casos </w:t>
      </w:r>
      <w:r w:rsidR="00130E27">
        <w:t xml:space="preserve">existe una causa conocida, </w:t>
      </w:r>
      <w:r w:rsidR="00E3543A">
        <w:t xml:space="preserve">siendo las </w:t>
      </w:r>
      <w:r w:rsidR="00130E27">
        <w:t xml:space="preserve"> </w:t>
      </w:r>
      <w:r w:rsidR="00C6208D">
        <w:t>princip</w:t>
      </w:r>
      <w:r w:rsidR="00C6208D">
        <w:t>a</w:t>
      </w:r>
      <w:r w:rsidR="00C6208D">
        <w:t>l</w:t>
      </w:r>
      <w:r w:rsidR="00E3543A">
        <w:t xml:space="preserve">es los </w:t>
      </w:r>
      <w:r w:rsidR="00130E27">
        <w:t xml:space="preserve">síndromes linfoproliferativos </w:t>
      </w:r>
      <w:r w:rsidR="00E3543A">
        <w:t>y las mesenquimopatías (50 y 40% respectivamente)</w:t>
      </w:r>
      <w:r w:rsidR="00D32088">
        <w:t>. E</w:t>
      </w:r>
      <w:r w:rsidR="003150AD" w:rsidRPr="005F1594">
        <w:t>l resto</w:t>
      </w:r>
      <w:r w:rsidR="00E3543A">
        <w:t xml:space="preserve"> </w:t>
      </w:r>
      <w:r w:rsidR="00D32088">
        <w:t xml:space="preserve">se compone de </w:t>
      </w:r>
      <w:r w:rsidR="00E3543A">
        <w:t>causas</w:t>
      </w:r>
      <w:r w:rsidR="00D32088">
        <w:t xml:space="preserve"> infecciosa,</w:t>
      </w:r>
      <w:r w:rsidR="003150AD" w:rsidRPr="005F1594">
        <w:t xml:space="preserve"> </w:t>
      </w:r>
      <w:r w:rsidR="00E3543A">
        <w:t>fármacos</w:t>
      </w:r>
      <w:r w:rsidR="00904E53" w:rsidRPr="005F1594">
        <w:t xml:space="preserve"> </w:t>
      </w:r>
      <w:r w:rsidR="00D32088">
        <w:t xml:space="preserve">u otras </w:t>
      </w:r>
      <w:r w:rsidR="00904E53" w:rsidRPr="000A2DD5">
        <w:t>(</w:t>
      </w:r>
      <w:r w:rsidR="00D17487">
        <w:t xml:space="preserve">1, </w:t>
      </w:r>
      <w:r w:rsidR="000A2DD5" w:rsidRPr="000A2DD5">
        <w:t>4</w:t>
      </w:r>
      <w:r w:rsidR="00904E53" w:rsidRPr="000A2DD5">
        <w:t>)</w:t>
      </w:r>
      <w:r w:rsidR="003150AD" w:rsidRPr="000A2DD5">
        <w:t xml:space="preserve">. </w:t>
      </w:r>
    </w:p>
    <w:p w14:paraId="153FE7A5" w14:textId="66613848" w:rsidR="0041712A" w:rsidRDefault="003B16DD" w:rsidP="00EB7403">
      <w:pPr>
        <w:widowControl w:val="0"/>
        <w:autoSpaceDE w:val="0"/>
        <w:autoSpaceDN w:val="0"/>
        <w:adjustRightInd w:val="0"/>
        <w:spacing w:line="360" w:lineRule="auto"/>
      </w:pPr>
      <w:r w:rsidRPr="005F1594">
        <w:t>La presentación clínica es heterogénea, desde formas leves a muy severas, con tasas de mortalidad descritas de hasta 11%</w:t>
      </w:r>
      <w:r w:rsidR="00E3543A">
        <w:t xml:space="preserve"> en series antiguas</w:t>
      </w:r>
      <w:r w:rsidRPr="005F1594">
        <w:t xml:space="preserve">, y </w:t>
      </w:r>
      <w:r w:rsidR="00E3543A">
        <w:t>de</w:t>
      </w:r>
      <w:r w:rsidRPr="005F1594">
        <w:t xml:space="preserve"> aproximadamente un 4% en e</w:t>
      </w:r>
      <w:r w:rsidRPr="005F1594">
        <w:t>s</w:t>
      </w:r>
      <w:r w:rsidRPr="005F1594">
        <w:t>tudios retrospectivos</w:t>
      </w:r>
      <w:r w:rsidR="00EB7403">
        <w:t xml:space="preserve"> </w:t>
      </w:r>
      <w:r w:rsidR="00E3543A">
        <w:t>recientemente publicados</w:t>
      </w:r>
      <w:r w:rsidR="009B52A3" w:rsidRPr="005F1594">
        <w:t>.</w:t>
      </w:r>
      <w:r w:rsidR="002B6B44" w:rsidRPr="005F1594">
        <w:t xml:space="preserve"> </w:t>
      </w:r>
    </w:p>
    <w:p w14:paraId="4FA6508D" w14:textId="74F01B69" w:rsidR="0041712A" w:rsidRDefault="001B6861" w:rsidP="00EB7403">
      <w:pPr>
        <w:widowControl w:val="0"/>
        <w:autoSpaceDE w:val="0"/>
        <w:autoSpaceDN w:val="0"/>
        <w:adjustRightInd w:val="0"/>
        <w:spacing w:line="360" w:lineRule="auto"/>
      </w:pPr>
      <w:r w:rsidRPr="005F1594">
        <w:t xml:space="preserve">En la literatura nacional </w:t>
      </w:r>
      <w:r w:rsidR="00E3543A">
        <w:t>encontramos</w:t>
      </w:r>
      <w:r w:rsidR="00EF3BCD" w:rsidRPr="005F1594">
        <w:t xml:space="preserve"> </w:t>
      </w:r>
      <w:r w:rsidR="00E3543A">
        <w:t>sólo</w:t>
      </w:r>
      <w:r w:rsidR="00EF3BCD" w:rsidRPr="005F1594">
        <w:t xml:space="preserve"> un </w:t>
      </w:r>
      <w:r w:rsidR="00E3543A">
        <w:t>reporte de un caso</w:t>
      </w:r>
      <w:r w:rsidR="00EF3BCD" w:rsidRPr="005F1594">
        <w:t xml:space="preserve"> clínico </w:t>
      </w:r>
      <w:r w:rsidR="00E3543A">
        <w:t xml:space="preserve">de AHAI </w:t>
      </w:r>
      <w:r w:rsidR="00E3543A" w:rsidRPr="005F1594">
        <w:t>asociada</w:t>
      </w:r>
      <w:r w:rsidR="00EF3BCD" w:rsidRPr="005F1594">
        <w:t xml:space="preserve"> </w:t>
      </w:r>
      <w:r w:rsidR="00E3543A">
        <w:t xml:space="preserve">a </w:t>
      </w:r>
      <w:r w:rsidR="00EF3BCD" w:rsidRPr="005F1594">
        <w:t>viru</w:t>
      </w:r>
      <w:r w:rsidR="00831EFE" w:rsidRPr="005F1594">
        <w:t>s de inmunodeficiencia humana (</w:t>
      </w:r>
      <w:r w:rsidR="000A2DD5">
        <w:t>5</w:t>
      </w:r>
      <w:r w:rsidR="00EF3BCD" w:rsidRPr="005F1594">
        <w:t>).</w:t>
      </w:r>
      <w:r w:rsidR="00843632" w:rsidRPr="005F1594">
        <w:t xml:space="preserve"> </w:t>
      </w:r>
    </w:p>
    <w:p w14:paraId="3A6D001F" w14:textId="0FBA084A" w:rsidR="0093417F" w:rsidRPr="005F1594" w:rsidRDefault="00843632" w:rsidP="00EB7403">
      <w:pPr>
        <w:widowControl w:val="0"/>
        <w:autoSpaceDE w:val="0"/>
        <w:autoSpaceDN w:val="0"/>
        <w:adjustRightInd w:val="0"/>
        <w:spacing w:line="360" w:lineRule="auto"/>
      </w:pPr>
      <w:r w:rsidRPr="005F1594">
        <w:t>Nos par</w:t>
      </w:r>
      <w:r w:rsidR="0093417F" w:rsidRPr="005F1594">
        <w:t xml:space="preserve">eció de interés </w:t>
      </w:r>
      <w:r w:rsidR="00794BCD" w:rsidRPr="005F1594">
        <w:t xml:space="preserve">analizar </w:t>
      </w:r>
      <w:r w:rsidR="00E3543A">
        <w:t>de</w:t>
      </w:r>
      <w:r w:rsidR="00794BCD" w:rsidRPr="005F1594">
        <w:t xml:space="preserve"> forma retrospectiva las características clínicas y evol</w:t>
      </w:r>
      <w:r w:rsidR="00794BCD" w:rsidRPr="005F1594">
        <w:t>u</w:t>
      </w:r>
      <w:r w:rsidR="00794BCD" w:rsidRPr="005F1594">
        <w:t>ción de pacientes</w:t>
      </w:r>
      <w:r w:rsidR="00E3543A">
        <w:t xml:space="preserve"> con el diagnóstico de AHAI</w:t>
      </w:r>
      <w:r w:rsidR="00794BCD" w:rsidRPr="005F1594">
        <w:t xml:space="preserve"> </w:t>
      </w:r>
      <w:r w:rsidR="00E3543A">
        <w:t>hospitalizados en nuestra institución.</w:t>
      </w:r>
    </w:p>
    <w:p w14:paraId="02AA895F" w14:textId="77777777" w:rsidR="0093417F" w:rsidRPr="005F1594" w:rsidRDefault="0093417F" w:rsidP="002075F6">
      <w:pPr>
        <w:spacing w:line="360" w:lineRule="auto"/>
      </w:pPr>
    </w:p>
    <w:p w14:paraId="6364A866" w14:textId="77777777" w:rsidR="00EE67D2" w:rsidRPr="005F1594" w:rsidRDefault="00EE67D2" w:rsidP="002075F6">
      <w:pPr>
        <w:spacing w:line="360" w:lineRule="auto"/>
        <w:rPr>
          <w:b/>
        </w:rPr>
      </w:pPr>
      <w:r w:rsidRPr="005F1594">
        <w:rPr>
          <w:b/>
        </w:rPr>
        <w:t>Materiales y Métodos</w:t>
      </w:r>
    </w:p>
    <w:p w14:paraId="279D3550" w14:textId="77777777" w:rsidR="0023501B" w:rsidRPr="005F1594" w:rsidRDefault="0023501B" w:rsidP="002075F6">
      <w:pPr>
        <w:spacing w:line="360" w:lineRule="auto"/>
        <w:rPr>
          <w:i/>
        </w:rPr>
      </w:pPr>
      <w:r w:rsidRPr="005F1594">
        <w:rPr>
          <w:i/>
        </w:rPr>
        <w:t>Pacientes</w:t>
      </w:r>
    </w:p>
    <w:p w14:paraId="6D359A78" w14:textId="5928FD9C" w:rsidR="00E81951" w:rsidRDefault="00CE3156" w:rsidP="002075F6">
      <w:pPr>
        <w:spacing w:line="360" w:lineRule="auto"/>
      </w:pPr>
      <w:r>
        <w:t>Se evaluaron</w:t>
      </w:r>
      <w:r w:rsidR="007B063C" w:rsidRPr="005F1594">
        <w:t xml:space="preserve"> los pacientes con diagnóstico de AHAI</w:t>
      </w:r>
      <w:r w:rsidR="00E0795A" w:rsidRPr="005F1594">
        <w:t xml:space="preserve"> </w:t>
      </w:r>
      <w:r w:rsidR="008E0B1E">
        <w:t xml:space="preserve">hospitalizados y </w:t>
      </w:r>
      <w:r w:rsidR="007B063C" w:rsidRPr="005F1594">
        <w:t>tratados</w:t>
      </w:r>
      <w:r w:rsidR="006F5FAD">
        <w:t xml:space="preserve"> por la Un</w:t>
      </w:r>
      <w:r w:rsidR="006F5FAD">
        <w:t>i</w:t>
      </w:r>
      <w:r w:rsidR="006F5FAD">
        <w:t>dad de Hematología del</w:t>
      </w:r>
      <w:r w:rsidR="007B063C" w:rsidRPr="005F1594">
        <w:t xml:space="preserve"> Hospital del Salvador</w:t>
      </w:r>
      <w:r w:rsidR="00E3543A">
        <w:t xml:space="preserve"> de Santiago</w:t>
      </w:r>
      <w:r w:rsidR="007B063C" w:rsidRPr="005F1594">
        <w:t xml:space="preserve">, entre </w:t>
      </w:r>
      <w:r w:rsidR="00DD7121" w:rsidRPr="005F1594">
        <w:t xml:space="preserve">enero </w:t>
      </w:r>
      <w:r w:rsidR="00D31340" w:rsidRPr="005F1594">
        <w:t>2010</w:t>
      </w:r>
      <w:r w:rsidR="007B063C" w:rsidRPr="005F1594">
        <w:t xml:space="preserve"> y </w:t>
      </w:r>
      <w:r w:rsidR="00CF23FE" w:rsidRPr="005F1594">
        <w:t>junio</w:t>
      </w:r>
      <w:r w:rsidR="00EB5DE6">
        <w:t xml:space="preserve"> </w:t>
      </w:r>
      <w:r w:rsidR="007B063C" w:rsidRPr="005F1594">
        <w:t>201</w:t>
      </w:r>
      <w:r w:rsidR="00DD7121" w:rsidRPr="005F1594">
        <w:t>8</w:t>
      </w:r>
      <w:r w:rsidR="007B063C" w:rsidRPr="005F1594">
        <w:t xml:space="preserve">. </w:t>
      </w:r>
      <w:r w:rsidR="00334FB5">
        <w:t xml:space="preserve">El estudio de laboratorio analizado fue el siguiente: </w:t>
      </w:r>
      <w:r w:rsidR="007B063C" w:rsidRPr="005F1594">
        <w:t xml:space="preserve">hemograma, </w:t>
      </w:r>
      <w:r>
        <w:t xml:space="preserve">porcentaje de </w:t>
      </w:r>
      <w:r w:rsidR="007B063C" w:rsidRPr="005F1594">
        <w:t>r</w:t>
      </w:r>
      <w:r w:rsidR="00C002D8">
        <w:t>eticuloc</w:t>
      </w:r>
      <w:r w:rsidR="00C002D8">
        <w:t>i</w:t>
      </w:r>
      <w:r w:rsidR="00C002D8">
        <w:t xml:space="preserve">tos, perfil bioquímico, deshidrogenasa láctica (LDH), </w:t>
      </w:r>
      <w:r w:rsidR="007B063C" w:rsidRPr="005F1594">
        <w:t>bilirrubina directa e indirecta,</w:t>
      </w:r>
      <w:r w:rsidR="00C86FC4">
        <w:t xml:space="preserve"> test de Coombs directo </w:t>
      </w:r>
      <w:r w:rsidR="007B063C" w:rsidRPr="005F1594">
        <w:t xml:space="preserve">e </w:t>
      </w:r>
      <w:r w:rsidR="00C86FC4">
        <w:t>indirecto</w:t>
      </w:r>
      <w:r w:rsidR="006F5FAD">
        <w:t>,</w:t>
      </w:r>
      <w:r w:rsidR="00C002D8">
        <w:t xml:space="preserve"> crioaglutininas (</w:t>
      </w:r>
      <w:r w:rsidR="006F5FAD">
        <w:t>ante</w:t>
      </w:r>
      <w:r w:rsidR="00390B74" w:rsidRPr="005F1594">
        <w:t xml:space="preserve"> sospecha clínica</w:t>
      </w:r>
      <w:r w:rsidR="00C002D8">
        <w:t xml:space="preserve">), </w:t>
      </w:r>
      <w:r w:rsidR="00624305">
        <w:t>anticuerpos</w:t>
      </w:r>
      <w:r w:rsidR="007B063C" w:rsidRPr="005F1594">
        <w:t xml:space="preserve"> antinucle</w:t>
      </w:r>
      <w:r w:rsidR="007B063C" w:rsidRPr="005F1594">
        <w:t>a</w:t>
      </w:r>
      <w:r w:rsidR="007B063C" w:rsidRPr="005F1594">
        <w:t>res</w:t>
      </w:r>
      <w:r w:rsidR="005F00CA" w:rsidRPr="005F1594">
        <w:t>,</w:t>
      </w:r>
      <w:r w:rsidR="00710238">
        <w:t xml:space="preserve"> </w:t>
      </w:r>
      <w:r w:rsidR="007B063C" w:rsidRPr="005F1594">
        <w:t>factor</w:t>
      </w:r>
      <w:r w:rsidR="00710238">
        <w:t xml:space="preserve"> </w:t>
      </w:r>
      <w:r w:rsidR="007B063C" w:rsidRPr="005F1594">
        <w:t>r</w:t>
      </w:r>
      <w:r w:rsidR="00A2374F">
        <w:t xml:space="preserve">eumatoideo, complemento C3 y C4, </w:t>
      </w:r>
      <w:r w:rsidR="00624305">
        <w:t>s</w:t>
      </w:r>
      <w:r w:rsidR="00710238">
        <w:t>erología para</w:t>
      </w:r>
      <w:r w:rsidR="00A454C0" w:rsidRPr="005F1594">
        <w:t xml:space="preserve"> </w:t>
      </w:r>
      <w:r w:rsidR="00624305">
        <w:t>virus de la inmunodeficie</w:t>
      </w:r>
      <w:r w:rsidR="00624305">
        <w:t>n</w:t>
      </w:r>
      <w:r w:rsidR="00624305">
        <w:t>cia humana</w:t>
      </w:r>
      <w:r w:rsidR="00A454C0" w:rsidRPr="005F1594">
        <w:t>,</w:t>
      </w:r>
      <w:r w:rsidR="006D3D09">
        <w:t xml:space="preserve"> virus hepatitis B y C</w:t>
      </w:r>
      <w:r w:rsidR="00A454C0" w:rsidRPr="005F1594">
        <w:t xml:space="preserve">. </w:t>
      </w:r>
      <w:r w:rsidR="00C002D8">
        <w:t>En paciente</w:t>
      </w:r>
      <w:r>
        <w:t>s</w:t>
      </w:r>
      <w:r w:rsidR="00C002D8">
        <w:t xml:space="preserve"> en los que se</w:t>
      </w:r>
      <w:r w:rsidR="00E81951">
        <w:t xml:space="preserve"> sospechó un síndrome linf</w:t>
      </w:r>
      <w:r w:rsidR="00E81951">
        <w:t>o</w:t>
      </w:r>
      <w:r w:rsidR="00E81951">
        <w:t>proliferativo se</w:t>
      </w:r>
      <w:r w:rsidR="00C002D8">
        <w:t xml:space="preserve"> realizó</w:t>
      </w:r>
      <w:r w:rsidR="00F00AA0">
        <w:t xml:space="preserve"> estudio de médula ósea y tomografía</w:t>
      </w:r>
      <w:r w:rsidR="00E81951">
        <w:t xml:space="preserve"> axial computarizada.</w:t>
      </w:r>
    </w:p>
    <w:p w14:paraId="551309E4" w14:textId="426BEC8A" w:rsidR="00566410" w:rsidRPr="005F1594" w:rsidRDefault="00566410" w:rsidP="002075F6">
      <w:pPr>
        <w:spacing w:line="360" w:lineRule="auto"/>
      </w:pPr>
      <w:r w:rsidRPr="005F1594">
        <w:t>Se diagnosticó</w:t>
      </w:r>
      <w:r w:rsidR="00A2374F">
        <w:t xml:space="preserve"> </w:t>
      </w:r>
      <w:r w:rsidR="00C86FC4">
        <w:t>un</w:t>
      </w:r>
      <w:r w:rsidR="00334FB5">
        <w:t xml:space="preserve"> </w:t>
      </w:r>
      <w:r w:rsidR="00C86FC4">
        <w:t>“</w:t>
      </w:r>
      <w:r w:rsidR="00334FB5">
        <w:t>Síndrome</w:t>
      </w:r>
      <w:r w:rsidRPr="005F1594">
        <w:t xml:space="preserve"> de Evans</w:t>
      </w:r>
      <w:r w:rsidR="00C86FC4">
        <w:t>”</w:t>
      </w:r>
      <w:r w:rsidR="00A454C0" w:rsidRPr="005F1594">
        <w:t xml:space="preserve"> si </w:t>
      </w:r>
      <w:r w:rsidR="00F877EF">
        <w:t xml:space="preserve">además de la AHAI </w:t>
      </w:r>
      <w:r w:rsidR="001D59FF">
        <w:t xml:space="preserve">se presentaba </w:t>
      </w:r>
      <w:r w:rsidR="00F877EF">
        <w:t xml:space="preserve">una </w:t>
      </w:r>
      <w:r w:rsidRPr="00790264">
        <w:t>tromboc</w:t>
      </w:r>
      <w:r w:rsidRPr="00790264">
        <w:t>i</w:t>
      </w:r>
      <w:r w:rsidRPr="00790264">
        <w:t>topenia</w:t>
      </w:r>
      <w:r w:rsidR="008E0B1E">
        <w:t xml:space="preserve"> </w:t>
      </w:r>
      <w:r w:rsidR="00A2374F">
        <w:t>y/</w:t>
      </w:r>
      <w:r w:rsidR="008E0B1E">
        <w:t>o neutropenia</w:t>
      </w:r>
      <w:r w:rsidR="00C86FC4">
        <w:t xml:space="preserve"> inmune</w:t>
      </w:r>
      <w:r w:rsidR="004305FF">
        <w:t>.</w:t>
      </w:r>
    </w:p>
    <w:p w14:paraId="149633EC" w14:textId="77777777" w:rsidR="00CE3156" w:rsidRDefault="00CE3156" w:rsidP="002075F6">
      <w:pPr>
        <w:spacing w:line="360" w:lineRule="auto"/>
        <w:rPr>
          <w:i/>
        </w:rPr>
      </w:pPr>
    </w:p>
    <w:p w14:paraId="566F42C6" w14:textId="77777777" w:rsidR="007B063C" w:rsidRPr="005F1594" w:rsidRDefault="0023501B" w:rsidP="002075F6">
      <w:pPr>
        <w:spacing w:line="360" w:lineRule="auto"/>
        <w:rPr>
          <w:i/>
        </w:rPr>
      </w:pPr>
      <w:r w:rsidRPr="005F1594">
        <w:rPr>
          <w:i/>
        </w:rPr>
        <w:lastRenderedPageBreak/>
        <w:t>Tratamiento</w:t>
      </w:r>
    </w:p>
    <w:p w14:paraId="424FF54E" w14:textId="77777777" w:rsidR="00DB7CF5" w:rsidRDefault="007F76D5" w:rsidP="002075F6">
      <w:pPr>
        <w:spacing w:line="360" w:lineRule="auto"/>
      </w:pPr>
      <w:r w:rsidRPr="005F1594">
        <w:t>El tratamiento estándar</w:t>
      </w:r>
      <w:r w:rsidR="00BB2963">
        <w:t xml:space="preserve"> de primera línea</w:t>
      </w:r>
      <w:r w:rsidRPr="005F1594">
        <w:t xml:space="preserve"> fue</w:t>
      </w:r>
      <w:r w:rsidR="00367D3D">
        <w:t xml:space="preserve"> </w:t>
      </w:r>
      <w:r w:rsidR="00864357" w:rsidRPr="005F1594">
        <w:t>prednisona oral 1 mg/kg/dí</w:t>
      </w:r>
      <w:r w:rsidR="0023501B" w:rsidRPr="005F1594">
        <w:t xml:space="preserve">a por </w:t>
      </w:r>
      <w:r w:rsidR="002E409B">
        <w:t>al menos 3 semanas,</w:t>
      </w:r>
      <w:r w:rsidR="00367D3D">
        <w:t xml:space="preserve"> </w:t>
      </w:r>
      <w:r w:rsidRPr="005F1594">
        <w:t>dexametasona 40</w:t>
      </w:r>
      <w:r w:rsidR="00367D3D">
        <w:t xml:space="preserve"> </w:t>
      </w:r>
      <w:r w:rsidRPr="005F1594">
        <w:t xml:space="preserve">mg intravenosa (iv) </w:t>
      </w:r>
      <w:r w:rsidR="007461A9" w:rsidRPr="005F1594">
        <w:t>por 4 días</w:t>
      </w:r>
      <w:r w:rsidR="00367D3D">
        <w:t>,</w:t>
      </w:r>
      <w:r w:rsidR="007461A9" w:rsidRPr="005F1594">
        <w:t xml:space="preserve"> </w:t>
      </w:r>
      <w:r w:rsidRPr="005F1594">
        <w:t>o</w:t>
      </w:r>
      <w:r w:rsidR="00367D3D">
        <w:t xml:space="preserve"> </w:t>
      </w:r>
      <w:r w:rsidRPr="005F1594">
        <w:t>metilprednisolona</w:t>
      </w:r>
      <w:r w:rsidR="00864357" w:rsidRPr="005F1594">
        <w:t xml:space="preserve"> iv 500 mg/día por 3 dí</w:t>
      </w:r>
      <w:r w:rsidR="001C30D4" w:rsidRPr="005F1594">
        <w:t>as.</w:t>
      </w:r>
      <w:r w:rsidR="007461A9" w:rsidRPr="005F1594">
        <w:t xml:space="preserve"> </w:t>
      </w:r>
      <w:r w:rsidR="002E409B">
        <w:t>Como segunda línea se utilizó</w:t>
      </w:r>
      <w:r w:rsidR="00730F5F">
        <w:t xml:space="preserve"> </w:t>
      </w:r>
      <w:r w:rsidR="00893FB7">
        <w:t xml:space="preserve">tratamiento con </w:t>
      </w:r>
      <w:r w:rsidR="00906EFA">
        <w:t>rituximab o</w:t>
      </w:r>
      <w:r w:rsidR="00730F5F">
        <w:t xml:space="preserve"> esplenect</w:t>
      </w:r>
      <w:r w:rsidR="00730F5F">
        <w:t>o</w:t>
      </w:r>
      <w:r w:rsidR="00730F5F">
        <w:t xml:space="preserve">mía. </w:t>
      </w:r>
      <w:r w:rsidR="002E409B">
        <w:t xml:space="preserve">Azatioprina y ciclofosfamida oral </w:t>
      </w:r>
      <w:r w:rsidR="00ED63A8">
        <w:t xml:space="preserve">se utilizó en pacientes </w:t>
      </w:r>
      <w:r w:rsidR="002E409B">
        <w:t xml:space="preserve">refractarios. </w:t>
      </w:r>
      <w:r w:rsidR="00DB7CF5" w:rsidRPr="00DB7CF5">
        <w:t xml:space="preserve">Entre los años 2015 y 2018, se utilizó rituximab como primera línea, a dosis de 375mg/m2/semana por 4 semanas consecutivas, en casos de AHAI por Ig fríos. </w:t>
      </w:r>
      <w:r w:rsidR="00DB7CF5">
        <w:t xml:space="preserve">Antes se usó corticoides. </w:t>
      </w:r>
    </w:p>
    <w:p w14:paraId="056182B2" w14:textId="108276F3" w:rsidR="001C30D4" w:rsidRPr="005F1594" w:rsidRDefault="001C30D4" w:rsidP="002075F6">
      <w:pPr>
        <w:spacing w:line="360" w:lineRule="auto"/>
      </w:pPr>
      <w:r w:rsidRPr="005F1594">
        <w:t xml:space="preserve">El criterio de respuesta </w:t>
      </w:r>
      <w:r w:rsidR="00ED63A8">
        <w:t xml:space="preserve">fue: a) remisión completa (RC): </w:t>
      </w:r>
      <w:r w:rsidRPr="005F1594">
        <w:t>mantener hemoglobina (Hb) estable</w:t>
      </w:r>
      <w:r w:rsidR="008069DF">
        <w:t xml:space="preserve"> mayor o igual a </w:t>
      </w:r>
      <w:r w:rsidR="00ED63A8">
        <w:t>1</w:t>
      </w:r>
      <w:r w:rsidR="00C908D8" w:rsidRPr="005F1594">
        <w:t xml:space="preserve">2 g/dl, sin signos de hemólisis (reticulocitos, bilirrubina y </w:t>
      </w:r>
      <w:r w:rsidR="00ED63A8" w:rsidRPr="005F1594">
        <w:t>LDH normales</w:t>
      </w:r>
      <w:r w:rsidR="002C700E" w:rsidRPr="005F1594">
        <w:t>)</w:t>
      </w:r>
      <w:r w:rsidR="00C56060">
        <w:t xml:space="preserve"> y</w:t>
      </w:r>
      <w:r w:rsidR="002C700E" w:rsidRPr="005F1594">
        <w:t xml:space="preserve"> sin necesidad de tratamiento</w:t>
      </w:r>
      <w:r w:rsidR="00C908D8" w:rsidRPr="005F1594">
        <w:t>, b) remisión parcial (RP)</w:t>
      </w:r>
      <w:r w:rsidR="00ED63A8">
        <w:t xml:space="preserve">: </w:t>
      </w:r>
      <w:r w:rsidR="00C908D8" w:rsidRPr="005F1594">
        <w:t xml:space="preserve"> </w:t>
      </w:r>
      <w:r w:rsidR="00ED63A8">
        <w:t xml:space="preserve">Hb mayor o igual a </w:t>
      </w:r>
      <w:r w:rsidR="002C700E" w:rsidRPr="005F1594">
        <w:t>12 g/dl y n</w:t>
      </w:r>
      <w:r w:rsidR="002C700E" w:rsidRPr="005F1594">
        <w:t>e</w:t>
      </w:r>
      <w:r w:rsidR="002C700E" w:rsidRPr="005F1594">
        <w:t>cesidad de mantene</w:t>
      </w:r>
      <w:r w:rsidR="00082304">
        <w:t>r corticoides y c) no respuesta:</w:t>
      </w:r>
      <w:r w:rsidR="002C700E" w:rsidRPr="005F1594">
        <w:t xml:space="preserve"> necesidad de asociar otra terapia a los corticoides.</w:t>
      </w:r>
      <w:r w:rsidR="004E4B9D" w:rsidRPr="005F1594">
        <w:t xml:space="preserve"> Se consideró buena respuesta </w:t>
      </w:r>
      <w:r w:rsidR="000B2F59">
        <w:t xml:space="preserve">o respuesta óptima </w:t>
      </w:r>
      <w:r w:rsidR="004E4B9D" w:rsidRPr="005F1594">
        <w:t>a pacientes que lograron RC o RP.</w:t>
      </w:r>
    </w:p>
    <w:p w14:paraId="08DF9533" w14:textId="77777777" w:rsidR="002C700E" w:rsidRPr="005F1594" w:rsidRDefault="004A712E" w:rsidP="002075F6">
      <w:pPr>
        <w:spacing w:line="360" w:lineRule="auto"/>
        <w:rPr>
          <w:i/>
        </w:rPr>
      </w:pPr>
      <w:r w:rsidRPr="005F1594">
        <w:rPr>
          <w:i/>
        </w:rPr>
        <w:t>Análisis estadísticos</w:t>
      </w:r>
    </w:p>
    <w:p w14:paraId="046B714A" w14:textId="77777777" w:rsidR="004A712E" w:rsidRPr="005F1594" w:rsidRDefault="007461A9" w:rsidP="002075F6">
      <w:pPr>
        <w:spacing w:line="360" w:lineRule="auto"/>
      </w:pPr>
      <w:r w:rsidRPr="005F1594">
        <w:t>Se</w:t>
      </w:r>
      <w:r w:rsidR="00814324">
        <w:t xml:space="preserve"> realizó estadística </w:t>
      </w:r>
      <w:r w:rsidR="0041712A">
        <w:t>descriptiva</w:t>
      </w:r>
      <w:r w:rsidR="00814324">
        <w:t>, y estadística analítica con test T-student</w:t>
      </w:r>
      <w:r w:rsidR="00DA47BD">
        <w:t>, Fisher</w:t>
      </w:r>
      <w:r w:rsidR="00814324">
        <w:t xml:space="preserve"> o chi cuadrado según fuera el caso. </w:t>
      </w:r>
      <w:r w:rsidR="00BB6F10" w:rsidRPr="005F1594">
        <w:t>Se analizó l</w:t>
      </w:r>
      <w:r w:rsidR="004A712E" w:rsidRPr="005F1594">
        <w:t>a</w:t>
      </w:r>
      <w:r w:rsidR="00BB6F10" w:rsidRPr="005F1594">
        <w:t xml:space="preserve"> sobrevida con curva de Kaplan</w:t>
      </w:r>
      <w:r w:rsidR="002D1E2D">
        <w:t xml:space="preserve"> y </w:t>
      </w:r>
      <w:r w:rsidR="004A712E" w:rsidRPr="005F1594">
        <w:t>Mei</w:t>
      </w:r>
      <w:r w:rsidR="00E20C22" w:rsidRPr="005F1594">
        <w:t>e</w:t>
      </w:r>
      <w:r w:rsidR="004A712E" w:rsidRPr="005F1594">
        <w:t>r</w:t>
      </w:r>
      <w:r w:rsidR="00BB6F10" w:rsidRPr="005F1594">
        <w:t>, y se realizó comparación con test de log rank</w:t>
      </w:r>
      <w:r w:rsidR="004A712E" w:rsidRPr="005F1594">
        <w:t xml:space="preserve">. </w:t>
      </w:r>
      <w:r w:rsidR="005C5E85" w:rsidRPr="005F1594">
        <w:t xml:space="preserve">Se consideró significativo un </w:t>
      </w:r>
      <w:r w:rsidR="005C5E85" w:rsidRPr="005F1594">
        <w:rPr>
          <w:i/>
        </w:rPr>
        <w:t>p&lt;</w:t>
      </w:r>
      <w:r w:rsidR="005C5E85" w:rsidRPr="005F1594">
        <w:t>0.05.</w:t>
      </w:r>
      <w:r w:rsidR="002D1E2D">
        <w:t xml:space="preserve"> </w:t>
      </w:r>
      <w:r w:rsidR="00633243" w:rsidRPr="005F1594">
        <w:t>Se utilizó el programa STATA 12.</w:t>
      </w:r>
    </w:p>
    <w:p w14:paraId="28E5DA5B" w14:textId="77777777" w:rsidR="002C700E" w:rsidRPr="005F1594" w:rsidRDefault="002C700E" w:rsidP="002075F6">
      <w:pPr>
        <w:spacing w:line="360" w:lineRule="auto"/>
      </w:pPr>
    </w:p>
    <w:p w14:paraId="14F6B0EC" w14:textId="77777777" w:rsidR="00EE67D2" w:rsidRPr="00807EA5" w:rsidRDefault="00EE67D2" w:rsidP="002075F6">
      <w:pPr>
        <w:spacing w:line="360" w:lineRule="auto"/>
        <w:rPr>
          <w:b/>
        </w:rPr>
      </w:pPr>
      <w:r w:rsidRPr="00807EA5">
        <w:rPr>
          <w:b/>
        </w:rPr>
        <w:t>Resultados</w:t>
      </w:r>
    </w:p>
    <w:p w14:paraId="56EE1BBC" w14:textId="77777777" w:rsidR="00C15BC1" w:rsidRPr="005F1594" w:rsidRDefault="00C15BC1" w:rsidP="002075F6">
      <w:pPr>
        <w:spacing w:line="360" w:lineRule="auto"/>
        <w:rPr>
          <w:i/>
        </w:rPr>
      </w:pPr>
      <w:r w:rsidRPr="00807EA5">
        <w:rPr>
          <w:i/>
        </w:rPr>
        <w:t>Características de los pacientes.</w:t>
      </w:r>
    </w:p>
    <w:p w14:paraId="05A42E00" w14:textId="6AA05F84" w:rsidR="000C1822" w:rsidRDefault="00C86FC4" w:rsidP="002075F6">
      <w:pPr>
        <w:spacing w:line="360" w:lineRule="auto"/>
      </w:pPr>
      <w:r>
        <w:t>Se diagnosticaron</w:t>
      </w:r>
      <w:r w:rsidR="000C1822" w:rsidRPr="005F1594">
        <w:t xml:space="preserve"> 43 </w:t>
      </w:r>
      <w:r w:rsidR="00123249" w:rsidRPr="005F1594">
        <w:t xml:space="preserve">pacientes </w:t>
      </w:r>
      <w:r w:rsidR="00ED63A8">
        <w:t xml:space="preserve">hospitalizados </w:t>
      </w:r>
      <w:r w:rsidR="00123249" w:rsidRPr="005F1594">
        <w:t xml:space="preserve">con AHAI </w:t>
      </w:r>
      <w:r w:rsidR="00ED63A8">
        <w:t xml:space="preserve">en </w:t>
      </w:r>
      <w:r w:rsidR="00123249" w:rsidRPr="005F1594">
        <w:t>el periodo de</w:t>
      </w:r>
      <w:r w:rsidR="003509B3">
        <w:t>scrito de</w:t>
      </w:r>
      <w:r w:rsidR="00123249" w:rsidRPr="005F1594">
        <w:t xml:space="preserve"> </w:t>
      </w:r>
      <w:r w:rsidR="000C1822" w:rsidRPr="005F1594">
        <w:t>8</w:t>
      </w:r>
      <w:r w:rsidR="00123249" w:rsidRPr="005F1594">
        <w:t xml:space="preserve"> años. </w:t>
      </w:r>
      <w:r w:rsidR="000C1822" w:rsidRPr="005F1594">
        <w:t>La edad media fue 63</w:t>
      </w:r>
      <w:r w:rsidR="00CF645D" w:rsidRPr="005F1594">
        <w:t xml:space="preserve"> años (rango 22-86</w:t>
      </w:r>
      <w:r w:rsidR="0013448D" w:rsidRPr="005F1594">
        <w:t xml:space="preserve"> años</w:t>
      </w:r>
      <w:r w:rsidR="00CF645D" w:rsidRPr="005F1594">
        <w:t xml:space="preserve">) y </w:t>
      </w:r>
      <w:r w:rsidR="00790264">
        <w:t xml:space="preserve">con </w:t>
      </w:r>
      <w:r w:rsidR="000C1822" w:rsidRPr="005F1594">
        <w:t>predo</w:t>
      </w:r>
      <w:r w:rsidR="008E5704">
        <w:t>minio de mujeres</w:t>
      </w:r>
      <w:r w:rsidR="00BC3E5E">
        <w:t xml:space="preserve"> (72%)</w:t>
      </w:r>
      <w:r w:rsidR="000C1822" w:rsidRPr="005F1594">
        <w:t>.</w:t>
      </w:r>
      <w:r w:rsidR="00584C67">
        <w:t xml:space="preserve"> Entre las comorbilidades</w:t>
      </w:r>
      <w:r w:rsidR="00ED63A8">
        <w:t xml:space="preserve"> se objetivaron </w:t>
      </w:r>
      <w:r w:rsidR="00ED63A8" w:rsidRPr="00584C67">
        <w:t>enfermedades autoinmunes</w:t>
      </w:r>
      <w:r w:rsidR="00584C67" w:rsidRPr="00584C67">
        <w:t xml:space="preserve"> en 12 casos, </w:t>
      </w:r>
      <w:r w:rsidR="00ED63A8">
        <w:t>destacando el</w:t>
      </w:r>
      <w:r w:rsidR="00584C67" w:rsidRPr="00584C67">
        <w:t xml:space="preserve"> hipotiroid</w:t>
      </w:r>
      <w:r w:rsidR="00ED63A8">
        <w:t>ismo, vitíligo, S</w:t>
      </w:r>
      <w:r w:rsidR="005F2FE2">
        <w:t>índrome de S</w:t>
      </w:r>
      <w:r w:rsidR="005F2FE2" w:rsidRPr="005F2FE2">
        <w:t>jö</w:t>
      </w:r>
      <w:r w:rsidR="005F2FE2">
        <w:t>g</w:t>
      </w:r>
      <w:r w:rsidR="001E0DD9">
        <w:t>ren y Anemia P</w:t>
      </w:r>
      <w:r w:rsidR="00584C67" w:rsidRPr="00584C67">
        <w:t xml:space="preserve">erniciosa. </w:t>
      </w:r>
      <w:r w:rsidR="000C1822" w:rsidRPr="005F1594">
        <w:t xml:space="preserve"> Las características </w:t>
      </w:r>
      <w:r w:rsidR="00556FBB">
        <w:t>clínicas y de laboratorio,</w:t>
      </w:r>
      <w:r w:rsidR="000C1822" w:rsidRPr="005F1594">
        <w:t xml:space="preserve"> se observa</w:t>
      </w:r>
      <w:r w:rsidR="00BC3E5E">
        <w:t>n</w:t>
      </w:r>
      <w:r w:rsidR="000C1822" w:rsidRPr="005F1594">
        <w:t xml:space="preserve"> en la </w:t>
      </w:r>
      <w:r w:rsidR="00BC3E5E">
        <w:t>T</w:t>
      </w:r>
      <w:r w:rsidR="000C1822" w:rsidRPr="005F1594">
        <w:t xml:space="preserve">abla 1. </w:t>
      </w:r>
    </w:p>
    <w:p w14:paraId="68008E29" w14:textId="77777777" w:rsidR="00F3670E" w:rsidRPr="005F1594" w:rsidRDefault="00F3670E" w:rsidP="002075F6">
      <w:pPr>
        <w:spacing w:line="360" w:lineRule="auto"/>
      </w:pPr>
    </w:p>
    <w:p w14:paraId="08835823" w14:textId="412EAEE7" w:rsidR="00D05AEB" w:rsidRDefault="00413E06" w:rsidP="006B7A0A">
      <w:pPr>
        <w:spacing w:line="360" w:lineRule="auto"/>
      </w:pPr>
      <w:r>
        <w:t>El test d</w:t>
      </w:r>
      <w:r w:rsidR="00ED63A8">
        <w:t>e Coombs directo fue negativo só</w:t>
      </w:r>
      <w:r>
        <w:t xml:space="preserve">lo en un caso (2,5%). </w:t>
      </w:r>
      <w:r w:rsidR="005F4B5B" w:rsidRPr="00CF645D">
        <w:t>En 1</w:t>
      </w:r>
      <w:r w:rsidR="00936AB1">
        <w:t>0</w:t>
      </w:r>
      <w:r w:rsidR="005F4B5B" w:rsidRPr="00CF645D">
        <w:t xml:space="preserve"> (</w:t>
      </w:r>
      <w:r w:rsidR="00936AB1">
        <w:t>2</w:t>
      </w:r>
      <w:r w:rsidR="005F4B5B" w:rsidRPr="00CF645D">
        <w:t>3%) se observó asociación con trombocitopenia inmune (Síndrome de Evans).</w:t>
      </w:r>
      <w:r w:rsidR="009F45F0">
        <w:t xml:space="preserve"> </w:t>
      </w:r>
      <w:r w:rsidR="00ED63A8">
        <w:t>En 31</w:t>
      </w:r>
      <w:r w:rsidR="00E767CB">
        <w:t xml:space="preserve"> </w:t>
      </w:r>
      <w:r w:rsidR="00ED63A8">
        <w:t>pacientes</w:t>
      </w:r>
      <w:r w:rsidR="00E767CB">
        <w:t xml:space="preserve"> (</w:t>
      </w:r>
      <w:r w:rsidR="000C1822" w:rsidRPr="005F1594">
        <w:t>72%</w:t>
      </w:r>
      <w:r w:rsidR="00E767CB">
        <w:t>) se detectó</w:t>
      </w:r>
      <w:r w:rsidR="000C1822" w:rsidRPr="005F1594">
        <w:t xml:space="preserve"> una causa subyacente</w:t>
      </w:r>
      <w:r w:rsidR="00ED63A8">
        <w:t xml:space="preserve"> (formas secundarias)</w:t>
      </w:r>
      <w:r w:rsidR="00C17AE4">
        <w:t>. De estos, 18 casos (58%) (</w:t>
      </w:r>
      <w:r w:rsidR="00D05AEB">
        <w:t xml:space="preserve">Figura 1) correspondieron </w:t>
      </w:r>
      <w:r w:rsidR="00ED63A8">
        <w:t>a un síndrome linfoproliferativo (</w:t>
      </w:r>
      <w:r w:rsidR="00D05AEB">
        <w:t xml:space="preserve">8 </w:t>
      </w:r>
      <w:r w:rsidR="00DB7CF5">
        <w:t>leucemias l</w:t>
      </w:r>
      <w:r w:rsidR="00F31980">
        <w:t>infática</w:t>
      </w:r>
      <w:r w:rsidR="00D05AEB">
        <w:t>s</w:t>
      </w:r>
      <w:r w:rsidR="00F31980">
        <w:t xml:space="preserve"> crónica</w:t>
      </w:r>
      <w:r w:rsidR="00D05AEB">
        <w:t>s</w:t>
      </w:r>
      <w:r w:rsidR="00673059">
        <w:t xml:space="preserve"> [LLC]</w:t>
      </w:r>
      <w:r w:rsidR="00C17AE4">
        <w:t>,</w:t>
      </w:r>
      <w:r w:rsidR="00D05AEB">
        <w:t xml:space="preserve"> 3 </w:t>
      </w:r>
      <w:r w:rsidR="00DB7CF5">
        <w:lastRenderedPageBreak/>
        <w:t>l</w:t>
      </w:r>
      <w:r w:rsidR="00D05AEB">
        <w:t>info</w:t>
      </w:r>
      <w:r w:rsidR="00673059">
        <w:t>mas no Hodgkin [LNH]</w:t>
      </w:r>
      <w:r w:rsidR="00DB7CF5">
        <w:t xml:space="preserve"> marginales e</w:t>
      </w:r>
      <w:r w:rsidR="00F31980">
        <w:t>splénico</w:t>
      </w:r>
      <w:r w:rsidR="00D05AEB">
        <w:t>s</w:t>
      </w:r>
      <w:r w:rsidR="00F31980">
        <w:t>,</w:t>
      </w:r>
      <w:r w:rsidR="00D05AEB">
        <w:t xml:space="preserve"> 2</w:t>
      </w:r>
      <w:r w:rsidR="00F31980">
        <w:t xml:space="preserve"> </w:t>
      </w:r>
      <w:r w:rsidR="00ED63A8">
        <w:t>LN</w:t>
      </w:r>
      <w:r w:rsidR="00862651">
        <w:t xml:space="preserve">H </w:t>
      </w:r>
      <w:r w:rsidR="00DB7CF5">
        <w:t>l</w:t>
      </w:r>
      <w:r w:rsidR="00F31980">
        <w:t>infoplasmocítico</w:t>
      </w:r>
      <w:r w:rsidR="00D05AEB">
        <w:t>s</w:t>
      </w:r>
      <w:r w:rsidR="00F31980">
        <w:t xml:space="preserve">, </w:t>
      </w:r>
      <w:r w:rsidR="00D05AEB">
        <w:t xml:space="preserve">2 </w:t>
      </w:r>
      <w:r w:rsidR="00F31980">
        <w:t xml:space="preserve">LNH T </w:t>
      </w:r>
      <w:r w:rsidR="00DB7CF5">
        <w:t>a</w:t>
      </w:r>
      <w:r w:rsidR="00D05AEB">
        <w:t>ngioinmunoblastico</w:t>
      </w:r>
      <w:r w:rsidR="00ED63A8">
        <w:t>,</w:t>
      </w:r>
      <w:r w:rsidR="00D05AEB">
        <w:t xml:space="preserve"> 2</w:t>
      </w:r>
      <w:r w:rsidR="00ED63A8">
        <w:t xml:space="preserve"> </w:t>
      </w:r>
      <w:r w:rsidR="00DB7CF5">
        <w:t>l</w:t>
      </w:r>
      <w:r w:rsidR="00ED63A8" w:rsidRPr="00FF612C">
        <w:t>infoma</w:t>
      </w:r>
      <w:r w:rsidR="00F31980">
        <w:rPr>
          <w:color w:val="FF0000"/>
        </w:rPr>
        <w:t xml:space="preserve"> </w:t>
      </w:r>
      <w:r w:rsidR="00D05AEB">
        <w:t>de Hodgkin</w:t>
      </w:r>
      <w:r w:rsidR="00FF612C">
        <w:t xml:space="preserve"> y </w:t>
      </w:r>
      <w:r w:rsidR="00D05AEB">
        <w:t xml:space="preserve">1 caso de </w:t>
      </w:r>
      <w:r w:rsidR="00FF612C">
        <w:t>linfocitosis B monoclonal</w:t>
      </w:r>
      <w:r w:rsidR="00D05AEB">
        <w:t xml:space="preserve">), </w:t>
      </w:r>
      <w:r w:rsidR="00D05AEB">
        <w:rPr>
          <w:lang w:val="es-ES"/>
        </w:rPr>
        <w:t>7</w:t>
      </w:r>
      <w:r w:rsidR="00EB199E" w:rsidRPr="00C858F7">
        <w:rPr>
          <w:lang w:val="es-ES"/>
        </w:rPr>
        <w:t xml:space="preserve"> casos (23%) fueron secundaria a mesenquimopatía (</w:t>
      </w:r>
      <w:r w:rsidR="00D05AEB">
        <w:rPr>
          <w:lang w:val="es-ES"/>
        </w:rPr>
        <w:t>3 Lupus Eritematoso Sistémico</w:t>
      </w:r>
      <w:r w:rsidR="00EB199E" w:rsidRPr="00C858F7">
        <w:rPr>
          <w:lang w:val="es-ES"/>
        </w:rPr>
        <w:t xml:space="preserve">, </w:t>
      </w:r>
      <w:r w:rsidR="00D05AEB">
        <w:rPr>
          <w:lang w:val="es-ES"/>
        </w:rPr>
        <w:t>2 Síndrome A</w:t>
      </w:r>
      <w:r w:rsidR="00EB199E" w:rsidRPr="00C858F7">
        <w:rPr>
          <w:lang w:val="es-ES"/>
        </w:rPr>
        <w:t>ntifosfolipido</w:t>
      </w:r>
      <w:r w:rsidR="00D05AEB">
        <w:rPr>
          <w:lang w:val="es-ES"/>
        </w:rPr>
        <w:t>s</w:t>
      </w:r>
      <w:r w:rsidR="00EB199E" w:rsidRPr="00C858F7">
        <w:rPr>
          <w:lang w:val="es-ES"/>
        </w:rPr>
        <w:t xml:space="preserve">, </w:t>
      </w:r>
      <w:r w:rsidR="00D05AEB">
        <w:rPr>
          <w:lang w:val="es-ES"/>
        </w:rPr>
        <w:t>y 1 caso de Artritis R</w:t>
      </w:r>
      <w:r w:rsidR="00EB199E" w:rsidRPr="00C858F7">
        <w:rPr>
          <w:lang w:val="es-ES"/>
        </w:rPr>
        <w:t>eumatoi</w:t>
      </w:r>
      <w:r w:rsidR="00C858F7" w:rsidRPr="00C858F7">
        <w:rPr>
          <w:lang w:val="es-ES"/>
        </w:rPr>
        <w:t>de y</w:t>
      </w:r>
      <w:r w:rsidR="00EB199E" w:rsidRPr="00C858F7">
        <w:rPr>
          <w:lang w:val="es-ES"/>
        </w:rPr>
        <w:t xml:space="preserve"> </w:t>
      </w:r>
      <w:r w:rsidR="00D05AEB">
        <w:rPr>
          <w:lang w:val="es-ES"/>
        </w:rPr>
        <w:t>de D</w:t>
      </w:r>
      <w:r w:rsidR="00EB199E" w:rsidRPr="00C858F7">
        <w:rPr>
          <w:lang w:val="es-ES"/>
        </w:rPr>
        <w:t>ermatomiositis</w:t>
      </w:r>
      <w:r w:rsidR="00D05AEB">
        <w:rPr>
          <w:lang w:val="es-ES"/>
        </w:rPr>
        <w:t>)</w:t>
      </w:r>
      <w:r w:rsidR="00C858F7" w:rsidRPr="00C858F7">
        <w:rPr>
          <w:lang w:val="es-ES"/>
        </w:rPr>
        <w:t>.</w:t>
      </w:r>
      <w:r w:rsidR="00484AD6">
        <w:rPr>
          <w:lang w:val="es-ES"/>
        </w:rPr>
        <w:t xml:space="preserve"> </w:t>
      </w:r>
      <w:r w:rsidR="00D05AEB">
        <w:rPr>
          <w:lang w:val="es-ES"/>
        </w:rPr>
        <w:t xml:space="preserve">Se objetivo un tumor sólido asociado en </w:t>
      </w:r>
      <w:r w:rsidR="00484AD6">
        <w:rPr>
          <w:lang w:val="es-ES"/>
        </w:rPr>
        <w:t>3 casos (</w:t>
      </w:r>
      <w:r w:rsidR="00D05AEB">
        <w:rPr>
          <w:lang w:val="es-ES"/>
        </w:rPr>
        <w:t xml:space="preserve">2 </w:t>
      </w:r>
      <w:r w:rsidR="00484AD6">
        <w:rPr>
          <w:lang w:val="es-ES"/>
        </w:rPr>
        <w:t>gástrico</w:t>
      </w:r>
      <w:r w:rsidR="00D05AEB">
        <w:rPr>
          <w:lang w:val="es-ES"/>
        </w:rPr>
        <w:t xml:space="preserve">s </w:t>
      </w:r>
      <w:r w:rsidR="00484AD6">
        <w:rPr>
          <w:lang w:val="es-ES"/>
        </w:rPr>
        <w:t>y</w:t>
      </w:r>
      <w:r w:rsidR="00D05AEB">
        <w:rPr>
          <w:lang w:val="es-ES"/>
        </w:rPr>
        <w:t xml:space="preserve"> 1 mama</w:t>
      </w:r>
      <w:r w:rsidR="00484AD6">
        <w:rPr>
          <w:lang w:val="es-ES"/>
        </w:rPr>
        <w:t xml:space="preserve">) y </w:t>
      </w:r>
      <w:r w:rsidR="00D05AEB">
        <w:rPr>
          <w:lang w:val="es-ES"/>
        </w:rPr>
        <w:t>un Síndrome M</w:t>
      </w:r>
      <w:r w:rsidR="00B7779D">
        <w:rPr>
          <w:lang w:val="es-ES"/>
        </w:rPr>
        <w:t>ielodisplá</w:t>
      </w:r>
      <w:r w:rsidR="00484AD6">
        <w:rPr>
          <w:lang w:val="es-ES"/>
        </w:rPr>
        <w:t xml:space="preserve">stico </w:t>
      </w:r>
      <w:r w:rsidR="00D05AEB">
        <w:rPr>
          <w:lang w:val="es-ES"/>
        </w:rPr>
        <w:t xml:space="preserve">en 2 </w:t>
      </w:r>
      <w:r w:rsidR="00484AD6">
        <w:rPr>
          <w:lang w:val="es-ES"/>
        </w:rPr>
        <w:t>casos.</w:t>
      </w:r>
      <w:r w:rsidR="00BB0734">
        <w:rPr>
          <w:lang w:val="es-ES"/>
        </w:rPr>
        <w:t xml:space="preserve"> </w:t>
      </w:r>
      <w:r w:rsidR="00D05AEB">
        <w:rPr>
          <w:lang w:val="es-ES"/>
        </w:rPr>
        <w:t>Un</w:t>
      </w:r>
      <w:r w:rsidR="00BB0734">
        <w:rPr>
          <w:lang w:val="es-ES"/>
        </w:rPr>
        <w:t xml:space="preserve"> caso </w:t>
      </w:r>
      <w:r w:rsidR="00D05AEB">
        <w:rPr>
          <w:lang w:val="es-ES"/>
        </w:rPr>
        <w:t xml:space="preserve">de AHAI secundaria </w:t>
      </w:r>
      <w:r w:rsidR="00BB0734">
        <w:rPr>
          <w:lang w:val="es-ES"/>
        </w:rPr>
        <w:t>f</w:t>
      </w:r>
      <w:r w:rsidR="00E6353C">
        <w:rPr>
          <w:lang w:val="es-ES"/>
        </w:rPr>
        <w:t xml:space="preserve">ue </w:t>
      </w:r>
      <w:r w:rsidR="00D05AEB">
        <w:rPr>
          <w:lang w:val="es-ES"/>
        </w:rPr>
        <w:t>asociado</w:t>
      </w:r>
      <w:r w:rsidR="00E6353C">
        <w:rPr>
          <w:lang w:val="es-ES"/>
        </w:rPr>
        <w:t xml:space="preserve"> a infección por</w:t>
      </w:r>
      <w:r w:rsidR="00D05AEB">
        <w:rPr>
          <w:lang w:val="es-ES"/>
        </w:rPr>
        <w:t xml:space="preserve"> M</w:t>
      </w:r>
      <w:r w:rsidR="00E6353C">
        <w:rPr>
          <w:lang w:val="es-ES"/>
        </w:rPr>
        <w:t>y</w:t>
      </w:r>
      <w:r w:rsidR="00BB0734">
        <w:rPr>
          <w:lang w:val="es-ES"/>
        </w:rPr>
        <w:t>coplasma</w:t>
      </w:r>
      <w:r w:rsidR="00D05AEB">
        <w:rPr>
          <w:lang w:val="es-ES"/>
        </w:rPr>
        <w:t xml:space="preserve"> pne</w:t>
      </w:r>
      <w:r w:rsidR="00D05AEB">
        <w:rPr>
          <w:lang w:val="es-ES"/>
        </w:rPr>
        <w:t>u</w:t>
      </w:r>
      <w:r w:rsidR="00D05AEB">
        <w:rPr>
          <w:lang w:val="es-ES"/>
        </w:rPr>
        <w:t>moniae</w:t>
      </w:r>
      <w:r w:rsidR="00BB0734">
        <w:rPr>
          <w:lang w:val="es-ES"/>
        </w:rPr>
        <w:t>.</w:t>
      </w:r>
      <w:r w:rsidR="00C17AE4">
        <w:rPr>
          <w:lang w:val="es-ES"/>
        </w:rPr>
        <w:t xml:space="preserve"> </w:t>
      </w:r>
      <w:r w:rsidR="0055142D" w:rsidRPr="005F1594">
        <w:t xml:space="preserve">Las características de los pacientes con AHAI </w:t>
      </w:r>
      <w:r w:rsidR="00BD774D">
        <w:t>secundaria se muestran en la T</w:t>
      </w:r>
      <w:r w:rsidR="00A50307">
        <w:t>abla 2.</w:t>
      </w:r>
      <w:r w:rsidR="00A50307" w:rsidRPr="00A50307">
        <w:t xml:space="preserve"> </w:t>
      </w:r>
    </w:p>
    <w:p w14:paraId="678C4344" w14:textId="77777777" w:rsidR="00D05AEB" w:rsidRDefault="00D05AEB" w:rsidP="006B7A0A">
      <w:pPr>
        <w:spacing w:line="360" w:lineRule="auto"/>
      </w:pPr>
    </w:p>
    <w:p w14:paraId="22D8A324" w14:textId="4EE29846" w:rsidR="006B7A0A" w:rsidRPr="00D05AEB" w:rsidRDefault="00A50307" w:rsidP="006B7A0A">
      <w:pPr>
        <w:spacing w:line="360" w:lineRule="auto"/>
        <w:rPr>
          <w:lang w:val="es-ES"/>
        </w:rPr>
      </w:pPr>
      <w:r w:rsidRPr="00A50307">
        <w:t>En 30 casos el diagnóstico de AHAI fue concomitante al diagnóstico de la enfermedad de base y en uno se realizó con posterioridad</w:t>
      </w:r>
      <w:r w:rsidR="0055142D" w:rsidRPr="005F1594">
        <w:t>.</w:t>
      </w:r>
      <w:r w:rsidR="005E600F" w:rsidRPr="005E600F">
        <w:rPr>
          <w:lang w:val="es-ES"/>
        </w:rPr>
        <w:t xml:space="preserve"> </w:t>
      </w:r>
      <w:r w:rsidR="005E600F">
        <w:rPr>
          <w:lang w:val="es-ES"/>
        </w:rPr>
        <w:t>En t</w:t>
      </w:r>
      <w:r w:rsidR="005E600F" w:rsidRPr="005F1594">
        <w:rPr>
          <w:lang w:val="es-ES"/>
        </w:rPr>
        <w:t xml:space="preserve">odos </w:t>
      </w:r>
      <w:r w:rsidR="00C17AE4">
        <w:rPr>
          <w:lang w:val="es-ES"/>
        </w:rPr>
        <w:t xml:space="preserve">los </w:t>
      </w:r>
      <w:r w:rsidR="005E600F">
        <w:rPr>
          <w:lang w:val="es-ES"/>
        </w:rPr>
        <w:t xml:space="preserve">pacientes con AHAI por </w:t>
      </w:r>
      <w:r w:rsidR="00D05AEB">
        <w:rPr>
          <w:lang w:val="es-ES"/>
        </w:rPr>
        <w:t>Ig fríos se</w:t>
      </w:r>
      <w:r w:rsidR="005E600F">
        <w:rPr>
          <w:lang w:val="es-ES"/>
        </w:rPr>
        <w:t xml:space="preserve"> detectó una etiología de base. </w:t>
      </w:r>
      <w:r w:rsidR="006B7A0A">
        <w:rPr>
          <w:lang w:val="es-ES"/>
        </w:rPr>
        <w:t>No se registró casos de causa secundaria a drogas.</w:t>
      </w:r>
    </w:p>
    <w:p w14:paraId="4B7C6337" w14:textId="77777777" w:rsidR="0055142D" w:rsidRPr="005F1594" w:rsidRDefault="0055142D" w:rsidP="002075F6">
      <w:pPr>
        <w:spacing w:line="360" w:lineRule="auto"/>
      </w:pPr>
    </w:p>
    <w:p w14:paraId="7DF71BB4" w14:textId="1ABF5F95" w:rsidR="0055142D" w:rsidRPr="005F1594" w:rsidRDefault="00FE0450" w:rsidP="002075F6">
      <w:pPr>
        <w:spacing w:line="360" w:lineRule="auto"/>
        <w:rPr>
          <w:lang w:val="es-ES"/>
        </w:rPr>
      </w:pPr>
      <w:r w:rsidRPr="00FE0450">
        <w:rPr>
          <w:lang w:val="es-ES"/>
        </w:rPr>
        <w:t xml:space="preserve">La edad media de los pacientes con AHAI por </w:t>
      </w:r>
      <w:r w:rsidR="00262CD9">
        <w:rPr>
          <w:lang w:val="es-ES"/>
        </w:rPr>
        <w:t>Ig</w:t>
      </w:r>
      <w:r w:rsidRPr="00FE0450">
        <w:rPr>
          <w:lang w:val="es-ES"/>
        </w:rPr>
        <w:t xml:space="preserve"> calientes fue 55 años, en cambio la de los pacientes con </w:t>
      </w:r>
      <w:r w:rsidR="00262CD9">
        <w:rPr>
          <w:lang w:val="es-ES"/>
        </w:rPr>
        <w:t>Ig</w:t>
      </w:r>
      <w:r w:rsidRPr="00FE0450">
        <w:rPr>
          <w:lang w:val="es-ES"/>
        </w:rPr>
        <w:t xml:space="preserve"> fríos fue 67 años.</w:t>
      </w:r>
      <w:r w:rsidR="005C2EFA">
        <w:rPr>
          <w:lang w:val="es-ES"/>
        </w:rPr>
        <w:t xml:space="preserve"> La anemia fue significativamente mayor en los pacientes con AHAI por </w:t>
      </w:r>
      <w:r w:rsidR="00262CD9">
        <w:rPr>
          <w:lang w:val="es-ES"/>
        </w:rPr>
        <w:t>Ig</w:t>
      </w:r>
      <w:r w:rsidR="005C2EFA">
        <w:rPr>
          <w:lang w:val="es-ES"/>
        </w:rPr>
        <w:t xml:space="preserve"> calientes.</w:t>
      </w:r>
      <w:r w:rsidRPr="00FE0450">
        <w:rPr>
          <w:lang w:val="es-ES"/>
        </w:rPr>
        <w:t xml:space="preserve"> </w:t>
      </w:r>
      <w:r w:rsidR="0055142D" w:rsidRPr="005F1594">
        <w:rPr>
          <w:lang w:val="es-ES"/>
        </w:rPr>
        <w:t xml:space="preserve">Las características </w:t>
      </w:r>
      <w:r w:rsidR="00412FD6">
        <w:rPr>
          <w:lang w:val="es-ES"/>
        </w:rPr>
        <w:t xml:space="preserve">de los pacientes </w:t>
      </w:r>
      <w:r w:rsidR="00976636">
        <w:rPr>
          <w:lang w:val="es-ES"/>
        </w:rPr>
        <w:t xml:space="preserve">según el tipo de anticuerpo, </w:t>
      </w:r>
      <w:r w:rsidR="0055142D" w:rsidRPr="005F1594">
        <w:rPr>
          <w:lang w:val="es-ES"/>
        </w:rPr>
        <w:t>se muestra</w:t>
      </w:r>
      <w:r w:rsidR="00412FD6">
        <w:rPr>
          <w:lang w:val="es-ES"/>
        </w:rPr>
        <w:t xml:space="preserve"> en la T</w:t>
      </w:r>
      <w:r w:rsidR="0055142D" w:rsidRPr="005F1594">
        <w:rPr>
          <w:lang w:val="es-ES"/>
        </w:rPr>
        <w:t>abla 3.</w:t>
      </w:r>
    </w:p>
    <w:p w14:paraId="51A7992A" w14:textId="77777777" w:rsidR="00A028FA" w:rsidRDefault="00A028FA" w:rsidP="002075F6">
      <w:pPr>
        <w:spacing w:line="360" w:lineRule="auto"/>
        <w:rPr>
          <w:i/>
        </w:rPr>
      </w:pPr>
    </w:p>
    <w:p w14:paraId="25ABB321" w14:textId="77777777" w:rsidR="00C15BC1" w:rsidRPr="005F1594" w:rsidRDefault="00C15BC1" w:rsidP="002075F6">
      <w:pPr>
        <w:spacing w:line="360" w:lineRule="auto"/>
        <w:rPr>
          <w:i/>
        </w:rPr>
      </w:pPr>
      <w:r w:rsidRPr="005F1594">
        <w:rPr>
          <w:i/>
        </w:rPr>
        <w:t>Respuesta al tratamiento.</w:t>
      </w:r>
    </w:p>
    <w:p w14:paraId="17CD433C" w14:textId="04CE84D1" w:rsidR="0066645C" w:rsidRDefault="00C15BC1" w:rsidP="0066645C">
      <w:pPr>
        <w:spacing w:line="360" w:lineRule="auto"/>
      </w:pPr>
      <w:r w:rsidRPr="005F1594">
        <w:t>Todos los pacientes</w:t>
      </w:r>
      <w:r w:rsidR="00D05812" w:rsidRPr="005F1594">
        <w:t xml:space="preserve"> </w:t>
      </w:r>
      <w:r w:rsidR="007022ED">
        <w:t xml:space="preserve">con </w:t>
      </w:r>
      <w:r w:rsidR="00531DF5">
        <w:t xml:space="preserve">AHAI por </w:t>
      </w:r>
      <w:r w:rsidR="00262CD9">
        <w:t>Ig</w:t>
      </w:r>
      <w:r w:rsidR="00531DF5">
        <w:t xml:space="preserve"> calientes </w:t>
      </w:r>
      <w:r w:rsidRPr="005F1594">
        <w:t xml:space="preserve">recibieron corticoides como tratamiento inicial, </w:t>
      </w:r>
      <w:r w:rsidR="00D05812" w:rsidRPr="005F1594">
        <w:t xml:space="preserve">además del tratamiento de la causa subyacente en los casos secundarios. </w:t>
      </w:r>
      <w:r w:rsidR="002750FE">
        <w:t>En el</w:t>
      </w:r>
      <w:r w:rsidR="005C7E90" w:rsidRPr="005F1594">
        <w:t xml:space="preserve"> 9</w:t>
      </w:r>
      <w:r w:rsidR="005250FA">
        <w:t>2</w:t>
      </w:r>
      <w:r w:rsidR="005C7E90" w:rsidRPr="005F1594">
        <w:t xml:space="preserve">% </w:t>
      </w:r>
      <w:r w:rsidR="00531DF5">
        <w:t>de estos casos</w:t>
      </w:r>
      <w:r w:rsidR="0066645C" w:rsidRPr="005F1594">
        <w:t xml:space="preserve"> </w:t>
      </w:r>
      <w:r w:rsidR="002750FE">
        <w:t xml:space="preserve">(33/36) se </w:t>
      </w:r>
      <w:r w:rsidR="005250FA">
        <w:t xml:space="preserve">logró </w:t>
      </w:r>
      <w:r w:rsidR="005C7E90" w:rsidRPr="005F1594">
        <w:t>respuesta</w:t>
      </w:r>
      <w:r w:rsidR="00531DF5">
        <w:t xml:space="preserve"> óptima</w:t>
      </w:r>
      <w:r w:rsidR="00622FB6">
        <w:t>. Dos respondieron a Rituximab como s</w:t>
      </w:r>
      <w:r w:rsidR="00622FB6">
        <w:t>e</w:t>
      </w:r>
      <w:r w:rsidR="00622FB6">
        <w:t xml:space="preserve">gunda línea, y 1 caso a ciclofosfamida. </w:t>
      </w:r>
      <w:r w:rsidR="00C17AE4">
        <w:t>Cinco</w:t>
      </w:r>
      <w:r w:rsidR="00622FB6">
        <w:t xml:space="preserve"> pacientes (</w:t>
      </w:r>
      <w:r w:rsidR="00A965C6">
        <w:t>14%</w:t>
      </w:r>
      <w:r w:rsidR="002750FE">
        <w:t xml:space="preserve">) </w:t>
      </w:r>
      <w:r w:rsidR="00622FB6">
        <w:t xml:space="preserve">recayeron, </w:t>
      </w:r>
      <w:r w:rsidR="002750FE">
        <w:t>1 respondió</w:t>
      </w:r>
      <w:r w:rsidR="00622FB6">
        <w:t xml:space="preserve"> </w:t>
      </w:r>
      <w:r w:rsidR="002750FE">
        <w:t>po</w:t>
      </w:r>
      <w:r w:rsidR="002750FE">
        <w:t>s</w:t>
      </w:r>
      <w:r w:rsidR="002750FE">
        <w:t>teriormente</w:t>
      </w:r>
      <w:r w:rsidR="00622FB6">
        <w:t xml:space="preserve"> a azatioprina</w:t>
      </w:r>
      <w:r w:rsidR="00A965C6">
        <w:t xml:space="preserve">, y 4 a un nuevo </w:t>
      </w:r>
      <w:r w:rsidR="002750FE">
        <w:t xml:space="preserve">ciclo </w:t>
      </w:r>
      <w:r w:rsidR="00A965C6">
        <w:t>de corticoides</w:t>
      </w:r>
      <w:r w:rsidR="00622FB6">
        <w:t>.</w:t>
      </w:r>
      <w:r w:rsidR="002750FE">
        <w:t xml:space="preserve"> </w:t>
      </w:r>
      <w:r w:rsidR="002C3FF6">
        <w:t>Cinco</w:t>
      </w:r>
      <w:r w:rsidR="00531DF5">
        <w:t xml:space="preserve"> de 7 pacientes con AHAI por </w:t>
      </w:r>
      <w:r w:rsidR="00262CD9">
        <w:t>Ig</w:t>
      </w:r>
      <w:r w:rsidR="00531DF5">
        <w:t xml:space="preserve"> fríos </w:t>
      </w:r>
      <w:r w:rsidR="00D17487">
        <w:t>recibieron</w:t>
      </w:r>
      <w:r w:rsidR="00A965C6">
        <w:t xml:space="preserve"> tratamiento </w:t>
      </w:r>
      <w:r w:rsidR="00D17487">
        <w:t xml:space="preserve">según la etiología subyacente además de </w:t>
      </w:r>
      <w:r w:rsidR="00531DF5">
        <w:t>cortico</w:t>
      </w:r>
      <w:r w:rsidR="00531DF5">
        <w:t>i</w:t>
      </w:r>
      <w:r w:rsidR="00531DF5">
        <w:t xml:space="preserve">des. </w:t>
      </w:r>
      <w:r w:rsidR="00D17487">
        <w:t>Hubo respuesta en un</w:t>
      </w:r>
      <w:r w:rsidR="00531DF5">
        <w:t xml:space="preserve"> 80% de los casos (4 de 5)</w:t>
      </w:r>
      <w:r w:rsidR="00622FB6">
        <w:t xml:space="preserve">. </w:t>
      </w:r>
      <w:r w:rsidR="002C3FF6">
        <w:t>Dos</w:t>
      </w:r>
      <w:r w:rsidR="00622FB6">
        <w:t xml:space="preserve"> casos se manejaron con Ritux</w:t>
      </w:r>
      <w:r w:rsidR="00622FB6">
        <w:t>i</w:t>
      </w:r>
      <w:r w:rsidR="00622FB6">
        <w:t>mab como primera línea, logrando respuesta óptima.</w:t>
      </w:r>
      <w:r w:rsidR="00531DF5">
        <w:t xml:space="preserve"> </w:t>
      </w:r>
      <w:r w:rsidR="00D17487">
        <w:t>Un</w:t>
      </w:r>
      <w:r w:rsidR="00622FB6">
        <w:t xml:space="preserve"> paciente </w:t>
      </w:r>
      <w:r w:rsidR="00D17487">
        <w:t>fue refractario a cortico</w:t>
      </w:r>
      <w:r w:rsidR="00D17487">
        <w:t>i</w:t>
      </w:r>
      <w:r w:rsidR="00D17487">
        <w:t>des, respondiendo posteriormente a r</w:t>
      </w:r>
      <w:r w:rsidR="00622FB6">
        <w:t xml:space="preserve">ituximab en segunda línea. </w:t>
      </w:r>
    </w:p>
    <w:p w14:paraId="38990EDE" w14:textId="77777777" w:rsidR="0043041E" w:rsidRDefault="0043041E" w:rsidP="0066645C">
      <w:pPr>
        <w:spacing w:line="360" w:lineRule="auto"/>
      </w:pPr>
    </w:p>
    <w:p w14:paraId="350B742F" w14:textId="2F5C97CC" w:rsidR="008F4813" w:rsidRPr="00B45E29" w:rsidRDefault="005C28B5" w:rsidP="002075F6">
      <w:pPr>
        <w:spacing w:line="360" w:lineRule="auto"/>
      </w:pPr>
      <w:r w:rsidRPr="002C7C6D">
        <w:lastRenderedPageBreak/>
        <w:t>El seguimiento medio fue 38 meses (rango 2-98</w:t>
      </w:r>
      <w:r w:rsidR="0043604E" w:rsidRPr="002C7C6D">
        <w:t xml:space="preserve"> meses). </w:t>
      </w:r>
      <w:r w:rsidR="002C3FF6">
        <w:t xml:space="preserve">Nueve </w:t>
      </w:r>
      <w:r w:rsidRPr="002C7C6D">
        <w:t>pacientes han fallecido</w:t>
      </w:r>
      <w:r w:rsidR="00B77B8C" w:rsidRPr="002C7C6D">
        <w:t xml:space="preserve">, </w:t>
      </w:r>
      <w:r w:rsidR="002C3FF6">
        <w:t xml:space="preserve">ninguno por la anemia propiamente tal. Sí por la causa subyacente: </w:t>
      </w:r>
      <w:r w:rsidR="00D17487">
        <w:t>3 casos por</w:t>
      </w:r>
      <w:r w:rsidR="00FD4229" w:rsidRPr="002C7C6D">
        <w:t xml:space="preserve"> cáncer gá</w:t>
      </w:r>
      <w:r w:rsidR="00FD4229" w:rsidRPr="002C7C6D">
        <w:t>s</w:t>
      </w:r>
      <w:r w:rsidR="00FD4229" w:rsidRPr="002C7C6D">
        <w:t>trico,</w:t>
      </w:r>
      <w:r w:rsidR="00D17487">
        <w:t xml:space="preserve"> 3 por LLC</w:t>
      </w:r>
      <w:r w:rsidR="00FD4229" w:rsidRPr="002C7C6D">
        <w:t xml:space="preserve">, </w:t>
      </w:r>
      <w:r w:rsidR="00D17487">
        <w:t>y uno por</w:t>
      </w:r>
      <w:r w:rsidR="002C7C6D">
        <w:t xml:space="preserve"> </w:t>
      </w:r>
      <w:r w:rsidR="002C3FF6">
        <w:t xml:space="preserve">LNH. </w:t>
      </w:r>
      <w:r w:rsidR="00C15BC1" w:rsidRPr="002C7C6D">
        <w:t>L</w:t>
      </w:r>
      <w:r w:rsidRPr="002C7C6D">
        <w:t>a sobrevida global a 5 años fue 72%</w:t>
      </w:r>
      <w:r w:rsidR="000C0B9E">
        <w:t xml:space="preserve"> (Figura 2</w:t>
      </w:r>
      <w:r w:rsidR="00736863" w:rsidRPr="002C7C6D">
        <w:t>)</w:t>
      </w:r>
      <w:r w:rsidR="00B45E29">
        <w:t>.</w:t>
      </w:r>
    </w:p>
    <w:p w14:paraId="098E040D" w14:textId="77777777" w:rsidR="00D17487" w:rsidRDefault="00D17487" w:rsidP="002075F6">
      <w:pPr>
        <w:spacing w:line="360" w:lineRule="auto"/>
        <w:rPr>
          <w:b/>
        </w:rPr>
      </w:pPr>
    </w:p>
    <w:p w14:paraId="1374F2F6" w14:textId="77777777" w:rsidR="00EE67D2" w:rsidRPr="005F1594" w:rsidRDefault="00EE67D2" w:rsidP="002075F6">
      <w:pPr>
        <w:spacing w:line="360" w:lineRule="auto"/>
        <w:rPr>
          <w:b/>
        </w:rPr>
      </w:pPr>
      <w:r w:rsidRPr="005F1594">
        <w:rPr>
          <w:b/>
        </w:rPr>
        <w:t>Discusión</w:t>
      </w:r>
    </w:p>
    <w:p w14:paraId="2D40155B" w14:textId="77777777" w:rsidR="00DB1D71" w:rsidRDefault="00122322" w:rsidP="005072FF">
      <w:pPr>
        <w:spacing w:line="360" w:lineRule="auto"/>
      </w:pPr>
      <w:r>
        <w:t>El pr</w:t>
      </w:r>
      <w:r w:rsidR="00D17487">
        <w:t xml:space="preserve">esente estudio concuerda con lo publicado </w:t>
      </w:r>
      <w:r w:rsidR="007D4A6E">
        <w:t xml:space="preserve">en </w:t>
      </w:r>
      <w:r w:rsidR="00D17487">
        <w:t>cuanto a que</w:t>
      </w:r>
      <w:r w:rsidR="007D4A6E">
        <w:t xml:space="preserve"> la</w:t>
      </w:r>
      <w:r w:rsidR="00521EB0" w:rsidRPr="005F1594">
        <w:t xml:space="preserve"> </w:t>
      </w:r>
      <w:r w:rsidR="00920BBA" w:rsidRPr="005F1594">
        <w:t>mayoría</w:t>
      </w:r>
      <w:r w:rsidR="00521EB0" w:rsidRPr="005F1594">
        <w:t xml:space="preserve"> de las AHAI</w:t>
      </w:r>
      <w:r>
        <w:t xml:space="preserve"> </w:t>
      </w:r>
      <w:r w:rsidR="00521EB0" w:rsidRPr="005F1594">
        <w:t>son</w:t>
      </w:r>
      <w:r w:rsidR="007D4A6E">
        <w:t xml:space="preserve"> </w:t>
      </w:r>
      <w:r w:rsidR="00D17487">
        <w:t>mediadas</w:t>
      </w:r>
      <w:r w:rsidR="00835FAF" w:rsidRPr="005F1594">
        <w:t xml:space="preserve"> por </w:t>
      </w:r>
      <w:r w:rsidR="00262CD9">
        <w:t>Ig</w:t>
      </w:r>
      <w:r w:rsidR="00835FAF" w:rsidRPr="005F1594">
        <w:t xml:space="preserve"> calientes</w:t>
      </w:r>
      <w:r w:rsidR="007D4A6E">
        <w:t xml:space="preserve">, </w:t>
      </w:r>
      <w:r w:rsidR="00920BBA" w:rsidRPr="005F1594">
        <w:t>c</w:t>
      </w:r>
      <w:r w:rsidR="00835FAF" w:rsidRPr="005F1594">
        <w:t>ifra</w:t>
      </w:r>
      <w:r w:rsidR="00920BBA" w:rsidRPr="005F1594">
        <w:t xml:space="preserve"> </w:t>
      </w:r>
      <w:r w:rsidR="00835FAF" w:rsidRPr="005F1594">
        <w:t xml:space="preserve">que oscila entre </w:t>
      </w:r>
      <w:r w:rsidR="00505EDE" w:rsidRPr="005F1594">
        <w:t>8</w:t>
      </w:r>
      <w:r w:rsidR="00835FAF" w:rsidRPr="005F1594">
        <w:t>0-90%</w:t>
      </w:r>
      <w:r w:rsidR="00D17487">
        <w:t>, y predomina en mujeres</w:t>
      </w:r>
      <w:r w:rsidR="00EB790F">
        <w:t xml:space="preserve">. </w:t>
      </w:r>
      <w:r w:rsidR="00D17487">
        <w:t xml:space="preserve">La </w:t>
      </w:r>
      <w:r w:rsidR="00B26040">
        <w:t>AH</w:t>
      </w:r>
      <w:r>
        <w:t>AI</w:t>
      </w:r>
      <w:r w:rsidR="00B26040">
        <w:t xml:space="preserve"> por </w:t>
      </w:r>
      <w:r w:rsidR="00262CD9">
        <w:t>Ig</w:t>
      </w:r>
      <w:r w:rsidR="00B26040">
        <w:t xml:space="preserve"> fríos ocurre a mayor edad, </w:t>
      </w:r>
      <w:r w:rsidR="00D17487">
        <w:t xml:space="preserve">lo que </w:t>
      </w:r>
      <w:r w:rsidR="0000712F">
        <w:t>confirmamos</w:t>
      </w:r>
      <w:r w:rsidR="00D17487">
        <w:t xml:space="preserve"> en nuestra revisión</w:t>
      </w:r>
      <w:r w:rsidR="002C3FF6">
        <w:t xml:space="preserve">. </w:t>
      </w:r>
    </w:p>
    <w:p w14:paraId="08999093" w14:textId="36B879A7" w:rsidR="005072FF" w:rsidRPr="00001D4E" w:rsidRDefault="00DB1D71" w:rsidP="005072FF">
      <w:pPr>
        <w:spacing w:line="360" w:lineRule="auto"/>
        <w:rPr>
          <w:color w:val="FF0000"/>
        </w:rPr>
      </w:pPr>
      <w:r>
        <w:t>Creemos importante destacar que</w:t>
      </w:r>
      <w:r w:rsidR="004B7A37">
        <w:t xml:space="preserve"> </w:t>
      </w:r>
      <w:r w:rsidR="008E2E47" w:rsidRPr="005F1594">
        <w:t>la hiperbilirrubinemia indirecta y el aumento de LDH</w:t>
      </w:r>
      <w:r w:rsidR="00616403">
        <w:t>,</w:t>
      </w:r>
      <w:r w:rsidR="008E2E47" w:rsidRPr="005F1594">
        <w:t xml:space="preserve"> criterios característ</w:t>
      </w:r>
      <w:r w:rsidR="008F4813" w:rsidRPr="005F1594">
        <w:t>i</w:t>
      </w:r>
      <w:r w:rsidR="008E2E47" w:rsidRPr="005F1594">
        <w:t xml:space="preserve">cos </w:t>
      </w:r>
      <w:r w:rsidR="00D17487">
        <w:t xml:space="preserve">clásicos de </w:t>
      </w:r>
      <w:r w:rsidR="00616403">
        <w:t>hemólisis</w:t>
      </w:r>
      <w:r w:rsidR="008E2E47" w:rsidRPr="005F1594">
        <w:t xml:space="preserve">, no </w:t>
      </w:r>
      <w:r w:rsidR="00D17487">
        <w:t>fueron</w:t>
      </w:r>
      <w:r w:rsidR="008E2E47" w:rsidRPr="005F1594">
        <w:t xml:space="preserve"> observ</w:t>
      </w:r>
      <w:r w:rsidR="0000712F">
        <w:t>aron</w:t>
      </w:r>
      <w:r w:rsidR="008E2E47" w:rsidRPr="005F1594">
        <w:t xml:space="preserve"> en </w:t>
      </w:r>
      <w:r w:rsidR="00BC58D6">
        <w:t xml:space="preserve">aproximadamente un tercio de los casos. </w:t>
      </w:r>
      <w:r w:rsidR="004B7A37">
        <w:t>O</w:t>
      </w:r>
      <w:r w:rsidR="005072FF">
        <w:t>tro examen relevante para el diagnóstico</w:t>
      </w:r>
      <w:r w:rsidR="002A16D5">
        <w:t xml:space="preserve"> de AHAI es el test de Coombs. E</w:t>
      </w:r>
      <w:r w:rsidR="005072FF">
        <w:t xml:space="preserve">n nuestra </w:t>
      </w:r>
      <w:r w:rsidR="00D17487">
        <w:t>revisión</w:t>
      </w:r>
      <w:r w:rsidR="005072FF">
        <w:t>, el test de Coombs directo fue positivo en todos los casos, excepto en uno. La paci</w:t>
      </w:r>
      <w:r w:rsidR="00EB5DE6">
        <w:t xml:space="preserve">ente </w:t>
      </w:r>
      <w:r w:rsidR="00296003">
        <w:t>presentó</w:t>
      </w:r>
      <w:r w:rsidR="00EB5DE6">
        <w:t xml:space="preserve"> un </w:t>
      </w:r>
      <w:r w:rsidR="003540B6">
        <w:t>Síndrome</w:t>
      </w:r>
      <w:r w:rsidR="00EB5DE6">
        <w:t xml:space="preserve"> de </w:t>
      </w:r>
      <w:r w:rsidR="005072FF">
        <w:t xml:space="preserve">Evans, claros signos de hemolisis de laboratorio y era portadora de un carcinoma gástrico. La literatura describe que entre 2% y 10% de los pacientes, tienen un test de Coombs </w:t>
      </w:r>
      <w:r w:rsidR="005072FF" w:rsidRPr="000A2DD5">
        <w:t xml:space="preserve">negativo </w:t>
      </w:r>
      <w:r w:rsidR="000A2DD5" w:rsidRPr="000A2DD5">
        <w:t>(1,6)</w:t>
      </w:r>
      <w:r w:rsidR="00296003">
        <w:t xml:space="preserve"> </w:t>
      </w:r>
      <w:r w:rsidR="005072FF">
        <w:t>dependiendo de la sensibil</w:t>
      </w:r>
      <w:r w:rsidR="005072FF">
        <w:t>i</w:t>
      </w:r>
      <w:r w:rsidR="005072FF">
        <w:t xml:space="preserve">dad del </w:t>
      </w:r>
      <w:r w:rsidR="005072FF" w:rsidRPr="0000712F">
        <w:t>reactivo</w:t>
      </w:r>
      <w:r w:rsidR="0000712F" w:rsidRPr="0000712F">
        <w:t>.</w:t>
      </w:r>
    </w:p>
    <w:p w14:paraId="064C1CA4" w14:textId="77777777" w:rsidR="0026151B" w:rsidRDefault="0026151B" w:rsidP="002075F6">
      <w:pPr>
        <w:spacing w:line="360" w:lineRule="auto"/>
      </w:pPr>
    </w:p>
    <w:p w14:paraId="30F36CC3" w14:textId="13C3A836" w:rsidR="008638C6" w:rsidRPr="005F1594" w:rsidRDefault="00DB1D71" w:rsidP="002075F6">
      <w:pPr>
        <w:spacing w:line="360" w:lineRule="auto"/>
      </w:pPr>
      <w:r>
        <w:t>Clásicamente</w:t>
      </w:r>
      <w:r w:rsidR="00296003">
        <w:t xml:space="preserve"> se</w:t>
      </w:r>
      <w:r w:rsidR="00920BBA" w:rsidRPr="005F1594">
        <w:t xml:space="preserve"> describe que </w:t>
      </w:r>
      <w:r w:rsidR="006064DF">
        <w:t xml:space="preserve">aproximadamente </w:t>
      </w:r>
      <w:r w:rsidR="00920BBA" w:rsidRPr="005F1594">
        <w:t>la mitad de los casos son secundarios</w:t>
      </w:r>
      <w:r w:rsidR="006064DF">
        <w:t xml:space="preserve">. En </w:t>
      </w:r>
      <w:r w:rsidR="00920BBA" w:rsidRPr="005F1594">
        <w:t xml:space="preserve">nuestra </w:t>
      </w:r>
      <w:r w:rsidR="00296003">
        <w:t>revisión</w:t>
      </w:r>
      <w:r w:rsidR="006064DF">
        <w:t xml:space="preserve"> esta </w:t>
      </w:r>
      <w:r w:rsidR="009D66F3">
        <w:t>asociación</w:t>
      </w:r>
      <w:r>
        <w:t xml:space="preserve"> fue muy superior: un</w:t>
      </w:r>
      <w:r w:rsidR="00296003">
        <w:t xml:space="preserve"> </w:t>
      </w:r>
      <w:r w:rsidR="00612315">
        <w:t>72% de los casos</w:t>
      </w:r>
      <w:r w:rsidR="006064DF">
        <w:t xml:space="preserve"> de</w:t>
      </w:r>
      <w:r w:rsidR="00920BBA" w:rsidRPr="005F1594">
        <w:t xml:space="preserve">mostró </w:t>
      </w:r>
      <w:r w:rsidR="006064DF">
        <w:t>una</w:t>
      </w:r>
      <w:r w:rsidR="00BD62AC">
        <w:t xml:space="preserve"> </w:t>
      </w:r>
      <w:r w:rsidR="00920BBA" w:rsidRPr="005F1594">
        <w:t>causa subyacente</w:t>
      </w:r>
      <w:r w:rsidR="002F4935">
        <w:t xml:space="preserve">, </w:t>
      </w:r>
      <w:r w:rsidR="00236149">
        <w:t>tendencia</w:t>
      </w:r>
      <w:r w:rsidR="00296003">
        <w:t xml:space="preserve"> que ha sido </w:t>
      </w:r>
      <w:r w:rsidR="00236149">
        <w:t>evidenciada</w:t>
      </w:r>
      <w:r w:rsidR="00296003">
        <w:t xml:space="preserve"> en recientes </w:t>
      </w:r>
      <w:r w:rsidR="00236149">
        <w:t>publicaciones de series</w:t>
      </w:r>
      <w:r w:rsidR="00296003">
        <w:t xml:space="preserve"> de casos</w:t>
      </w:r>
      <w:r w:rsidR="003E66FB">
        <w:t xml:space="preserve"> (3, 16</w:t>
      </w:r>
      <w:r w:rsidR="00180514">
        <w:t>, 17</w:t>
      </w:r>
      <w:r w:rsidR="003E66FB">
        <w:t>)</w:t>
      </w:r>
      <w:r w:rsidR="00236149">
        <w:t xml:space="preserve">. </w:t>
      </w:r>
      <w:r w:rsidR="002F4935">
        <w:t xml:space="preserve">La mayor parte fueron síndromes linfoproliferativos. </w:t>
      </w:r>
      <w:r w:rsidR="00236149">
        <w:t>En nuest</w:t>
      </w:r>
      <w:r>
        <w:t>ra cohorte</w:t>
      </w:r>
      <w:r w:rsidR="00236149">
        <w:t xml:space="preserve"> </w:t>
      </w:r>
      <w:r w:rsidR="002F4935">
        <w:t>esto puede explicarse por</w:t>
      </w:r>
      <w:r w:rsidR="00236149">
        <w:t xml:space="preserve"> la mayor sospecha y capacidad diagnóstica de n</w:t>
      </w:r>
      <w:r>
        <w:t>eoplasia hematológ</w:t>
      </w:r>
      <w:r>
        <w:t>i</w:t>
      </w:r>
      <w:r>
        <w:t>cas al ser</w:t>
      </w:r>
      <w:r w:rsidR="00236149">
        <w:t xml:space="preserve"> </w:t>
      </w:r>
      <w:r w:rsidR="008E2E47" w:rsidRPr="005F1594">
        <w:t>nuestro</w:t>
      </w:r>
      <w:r w:rsidR="003E66FB">
        <w:t xml:space="preserve"> hospital un</w:t>
      </w:r>
      <w:r w:rsidR="008E2E47" w:rsidRPr="005F1594">
        <w:t xml:space="preserve"> centro</w:t>
      </w:r>
      <w:r w:rsidR="003E66FB">
        <w:t xml:space="preserve"> de referencia </w:t>
      </w:r>
      <w:r w:rsidR="00236149">
        <w:t>nacional en hematología</w:t>
      </w:r>
      <w:r>
        <w:t xml:space="preserve">. </w:t>
      </w:r>
    </w:p>
    <w:p w14:paraId="05A03CA0" w14:textId="77777777" w:rsidR="000A2DD5" w:rsidRDefault="000A2DD5" w:rsidP="002075F6">
      <w:pPr>
        <w:spacing w:line="360" w:lineRule="auto"/>
      </w:pPr>
    </w:p>
    <w:p w14:paraId="73AE4753" w14:textId="77777777" w:rsidR="00DB1D71" w:rsidRDefault="00236149" w:rsidP="002075F6">
      <w:pPr>
        <w:spacing w:line="360" w:lineRule="auto"/>
      </w:pPr>
      <w:r>
        <w:t>En un</w:t>
      </w:r>
      <w:r w:rsidR="00A36A39">
        <w:t xml:space="preserve"> sólo paciente </w:t>
      </w:r>
      <w:r>
        <w:t xml:space="preserve">se diagnosticó </w:t>
      </w:r>
      <w:r w:rsidR="001C1E5E" w:rsidRPr="005F1594">
        <w:t xml:space="preserve">un </w:t>
      </w:r>
      <w:r>
        <w:t xml:space="preserve">síndrome </w:t>
      </w:r>
      <w:r w:rsidR="00DB1D71">
        <w:t>l</w:t>
      </w:r>
      <w:r w:rsidR="001C1E5E" w:rsidRPr="005F1594">
        <w:t xml:space="preserve">infoproliferativo </w:t>
      </w:r>
      <w:r>
        <w:t xml:space="preserve">posterior a el </w:t>
      </w:r>
      <w:r w:rsidR="00BF7AAE" w:rsidRPr="005F1594">
        <w:t xml:space="preserve">debut de la </w:t>
      </w:r>
      <w:r>
        <w:t>AHAI</w:t>
      </w:r>
      <w:r w:rsidR="00BF7AAE" w:rsidRPr="005F1594">
        <w:t>,</w:t>
      </w:r>
      <w:r>
        <w:t xml:space="preserve"> cifra</w:t>
      </w:r>
      <w:r w:rsidR="00BF7AAE" w:rsidRPr="005F1594">
        <w:t xml:space="preserve"> menor a lo </w:t>
      </w:r>
      <w:r w:rsidR="00B53CDE">
        <w:t>publicado</w:t>
      </w:r>
      <w:r w:rsidR="00BF7AAE" w:rsidRPr="005F1594">
        <w:t xml:space="preserve">. </w:t>
      </w:r>
      <w:r w:rsidR="001C1E5E" w:rsidRPr="000A2DD5">
        <w:t>Sallah</w:t>
      </w:r>
      <w:r w:rsidR="00734EAC" w:rsidRPr="000A2DD5">
        <w:t xml:space="preserve"> (</w:t>
      </w:r>
      <w:r w:rsidR="000A2DD5" w:rsidRPr="000A2DD5">
        <w:t>7</w:t>
      </w:r>
      <w:r w:rsidR="00E337E8" w:rsidRPr="000A2DD5">
        <w:t>),</w:t>
      </w:r>
      <w:r w:rsidR="001C1E5E" w:rsidRPr="000A2DD5">
        <w:t xml:space="preserve"> </w:t>
      </w:r>
      <w:r w:rsidR="001C1E5E" w:rsidRPr="005F1594">
        <w:t xml:space="preserve">en su estudio de 107 casos </w:t>
      </w:r>
      <w:r w:rsidR="00E337E8" w:rsidRPr="005F1594">
        <w:t xml:space="preserve">con </w:t>
      </w:r>
      <w:r w:rsidR="001C1E5E" w:rsidRPr="005F1594">
        <w:t xml:space="preserve">AHAI, </w:t>
      </w:r>
      <w:r w:rsidR="00BF7AAE" w:rsidRPr="005F1594">
        <w:t xml:space="preserve">mostró que </w:t>
      </w:r>
      <w:r w:rsidR="001C1E5E" w:rsidRPr="005F1594">
        <w:t>18% desarrolló una neoplasia linfoproliferativa, con una media de 26 meses despu</w:t>
      </w:r>
      <w:r w:rsidR="005C353C" w:rsidRPr="005F1594">
        <w:t>és del debut de la anemia hemolí</w:t>
      </w:r>
      <w:r w:rsidR="001C1E5E" w:rsidRPr="005F1594">
        <w:t>tica.</w:t>
      </w:r>
      <w:r w:rsidR="00A36A39">
        <w:t xml:space="preserve"> </w:t>
      </w:r>
    </w:p>
    <w:p w14:paraId="645119D7" w14:textId="77777777" w:rsidR="00C54943" w:rsidRPr="005F1594" w:rsidRDefault="00C54943" w:rsidP="00734EAC">
      <w:pPr>
        <w:spacing w:line="360" w:lineRule="auto"/>
      </w:pPr>
    </w:p>
    <w:p w14:paraId="16593422" w14:textId="228CC0C0" w:rsidR="00C54943" w:rsidRDefault="00C90E63" w:rsidP="00734EAC">
      <w:pPr>
        <w:spacing w:line="360" w:lineRule="auto"/>
      </w:pPr>
      <w:r w:rsidRPr="005F1594">
        <w:t xml:space="preserve">La AHAI por </w:t>
      </w:r>
      <w:r w:rsidR="00262CD9">
        <w:t>Ig</w:t>
      </w:r>
      <w:r w:rsidR="007D7D5D" w:rsidRPr="005F1594">
        <w:t xml:space="preserve"> frí</w:t>
      </w:r>
      <w:r w:rsidRPr="005F1594">
        <w:t>os constituy</w:t>
      </w:r>
      <w:r w:rsidR="00EE5C60" w:rsidRPr="005F1594">
        <w:t>ó</w:t>
      </w:r>
      <w:r w:rsidR="00BF7AAE" w:rsidRPr="005F1594">
        <w:t xml:space="preserve"> </w:t>
      </w:r>
      <w:r w:rsidR="00B53CDE">
        <w:t>un</w:t>
      </w:r>
      <w:r w:rsidR="00BF7AAE" w:rsidRPr="005F1594">
        <w:t xml:space="preserve"> 16</w:t>
      </w:r>
      <w:r w:rsidRPr="005F1594">
        <w:t>% del total de casos</w:t>
      </w:r>
      <w:r w:rsidR="00294A80" w:rsidRPr="005F1594">
        <w:t>,</w:t>
      </w:r>
      <w:r w:rsidR="00AE1267">
        <w:t xml:space="preserve"> </w:t>
      </w:r>
      <w:r w:rsidR="00BF7AAE" w:rsidRPr="005F1594">
        <w:t>cifra inferior a la de otros pa</w:t>
      </w:r>
      <w:r w:rsidR="00BF7AAE" w:rsidRPr="005F1594">
        <w:t>í</w:t>
      </w:r>
      <w:r w:rsidR="00BF7AAE" w:rsidRPr="005F1594">
        <w:t>ses</w:t>
      </w:r>
      <w:r w:rsidR="00484C1C">
        <w:t xml:space="preserve">. Por ejemplo en </w:t>
      </w:r>
      <w:r w:rsidR="002F4935">
        <w:t>Escandinavia</w:t>
      </w:r>
      <w:r w:rsidR="00294A80" w:rsidRPr="005F1594">
        <w:t xml:space="preserve"> constituye hasta el 25%</w:t>
      </w:r>
      <w:r w:rsidR="00734EAC" w:rsidRPr="005F1594">
        <w:t xml:space="preserve"> (</w:t>
      </w:r>
      <w:r w:rsidR="000A2DD5">
        <w:t>8,</w:t>
      </w:r>
      <w:r w:rsidR="00B53CDE">
        <w:t xml:space="preserve"> </w:t>
      </w:r>
      <w:r w:rsidR="000A2DD5">
        <w:t>9</w:t>
      </w:r>
      <w:r w:rsidR="00B3310F" w:rsidRPr="005F1594">
        <w:t>)</w:t>
      </w:r>
      <w:r w:rsidR="00294A80" w:rsidRPr="005F1594">
        <w:t xml:space="preserve">. </w:t>
      </w:r>
      <w:r w:rsidR="002F4935">
        <w:t>E</w:t>
      </w:r>
      <w:r w:rsidR="00734EAC" w:rsidRPr="005F1594">
        <w:t xml:space="preserve">l estudio de </w:t>
      </w:r>
      <w:r w:rsidR="00734EAC" w:rsidRPr="000A2DD5">
        <w:t xml:space="preserve">GIMEMA </w:t>
      </w:r>
      <w:r w:rsidR="00734EAC" w:rsidRPr="000A2DD5">
        <w:lastRenderedPageBreak/>
        <w:t>(</w:t>
      </w:r>
      <w:r w:rsidR="000A2DD5" w:rsidRPr="000A2DD5">
        <w:t>6</w:t>
      </w:r>
      <w:r w:rsidR="002F4935">
        <w:t>)</w:t>
      </w:r>
      <w:r w:rsidR="00C059B6" w:rsidRPr="005F1594">
        <w:t xml:space="preserve"> reporta 308 pacientes con AHAI primaria, </w:t>
      </w:r>
      <w:r w:rsidR="002F4935">
        <w:t xml:space="preserve">en los que </w:t>
      </w:r>
      <w:r w:rsidR="00C059B6" w:rsidRPr="005F1594">
        <w:t xml:space="preserve">la anemia por </w:t>
      </w:r>
      <w:r w:rsidR="00262CD9">
        <w:t>Ig</w:t>
      </w:r>
      <w:r w:rsidR="00C059B6" w:rsidRPr="005F1594">
        <w:t xml:space="preserve"> </w:t>
      </w:r>
      <w:r w:rsidR="005C353C" w:rsidRPr="005F1594">
        <w:t>fríos</w:t>
      </w:r>
      <w:r w:rsidR="002F4935">
        <w:t xml:space="preserve"> </w:t>
      </w:r>
      <w:r w:rsidR="00C059B6" w:rsidRPr="005F1594">
        <w:t>correspo</w:t>
      </w:r>
      <w:r w:rsidR="00C059B6" w:rsidRPr="005F1594">
        <w:t>n</w:t>
      </w:r>
      <w:r w:rsidR="00C059B6" w:rsidRPr="005F1594">
        <w:t xml:space="preserve">dió al 27% del total de casos. </w:t>
      </w:r>
      <w:r w:rsidR="00C54943" w:rsidRPr="005F1594">
        <w:t xml:space="preserve">Esta menor incidencia puede deberse </w:t>
      </w:r>
      <w:r w:rsidR="008573C9">
        <w:t>a un subdiagnóstico en nuestro centro.</w:t>
      </w:r>
    </w:p>
    <w:p w14:paraId="7731CCD2" w14:textId="77777777" w:rsidR="000A2DD5" w:rsidRPr="005F1594" w:rsidRDefault="000A2DD5" w:rsidP="00734EAC">
      <w:pPr>
        <w:spacing w:line="360" w:lineRule="auto"/>
      </w:pPr>
    </w:p>
    <w:p w14:paraId="4C8B97A3" w14:textId="5E1FDC54" w:rsidR="00C54943" w:rsidRDefault="00C54943" w:rsidP="003A59F5">
      <w:pPr>
        <w:spacing w:line="360" w:lineRule="auto"/>
        <w:rPr>
          <w:lang w:val="es-CL"/>
        </w:rPr>
      </w:pPr>
      <w:r w:rsidRPr="005F1594">
        <w:t xml:space="preserve">Todos los pacientes </w:t>
      </w:r>
      <w:r w:rsidR="008F4813" w:rsidRPr="005F1594">
        <w:t xml:space="preserve">con AHAI por </w:t>
      </w:r>
      <w:r w:rsidR="00EE3808">
        <w:t>Ig</w:t>
      </w:r>
      <w:r w:rsidR="008F4813" w:rsidRPr="005F1594">
        <w:t xml:space="preserve"> fríos </w:t>
      </w:r>
      <w:r w:rsidRPr="005F1594">
        <w:t xml:space="preserve">tuvieron una causa, lo que es consistente con lo </w:t>
      </w:r>
      <w:r w:rsidR="002F4935">
        <w:t>publicado, siendo el linfoma l</w:t>
      </w:r>
      <w:r w:rsidRPr="005F1594">
        <w:t xml:space="preserve">infoplasmocítico el más </w:t>
      </w:r>
      <w:r w:rsidRPr="009D2577">
        <w:t xml:space="preserve">frecuente </w:t>
      </w:r>
      <w:r w:rsidR="003A59F5" w:rsidRPr="009D2577">
        <w:t>(</w:t>
      </w:r>
      <w:r w:rsidR="009D2577" w:rsidRPr="009D2577">
        <w:t>9</w:t>
      </w:r>
      <w:r w:rsidR="003A59F5" w:rsidRPr="009D2577">
        <w:rPr>
          <w:lang w:val="es-CL"/>
        </w:rPr>
        <w:t>).</w:t>
      </w:r>
      <w:r w:rsidR="0083625E" w:rsidRPr="009D2577">
        <w:rPr>
          <w:lang w:val="es-CL"/>
        </w:rPr>
        <w:t xml:space="preserve"> </w:t>
      </w:r>
    </w:p>
    <w:p w14:paraId="5FDD944B" w14:textId="56BF1F48" w:rsidR="002C3FF6" w:rsidRPr="005F1594" w:rsidRDefault="002C3FF6" w:rsidP="003A59F5">
      <w:pPr>
        <w:spacing w:line="360" w:lineRule="auto"/>
        <w:rPr>
          <w:lang w:val="es-CL"/>
        </w:rPr>
      </w:pPr>
      <w:r w:rsidRPr="002C3FF6">
        <w:rPr>
          <w:lang w:val="es-CL"/>
        </w:rPr>
        <w:t xml:space="preserve">Destacamos </w:t>
      </w:r>
      <w:r>
        <w:rPr>
          <w:lang w:val="es-CL"/>
        </w:rPr>
        <w:t xml:space="preserve">además </w:t>
      </w:r>
      <w:r w:rsidRPr="002C3FF6">
        <w:rPr>
          <w:lang w:val="es-CL"/>
        </w:rPr>
        <w:t>que la anemia fue significativamente más intensa que en los pacientes con AHAI por Ig calientes.</w:t>
      </w:r>
    </w:p>
    <w:p w14:paraId="22453217" w14:textId="77777777" w:rsidR="00C54943" w:rsidRPr="005F1594" w:rsidRDefault="00C54943" w:rsidP="00734EAC">
      <w:pPr>
        <w:spacing w:line="360" w:lineRule="auto"/>
        <w:rPr>
          <w:color w:val="FF0000"/>
          <w:lang w:val="es-CL"/>
        </w:rPr>
      </w:pPr>
    </w:p>
    <w:p w14:paraId="539F6915" w14:textId="4CC4E524" w:rsidR="00DE7EED" w:rsidRPr="005F1594" w:rsidRDefault="00227F7B" w:rsidP="001E4EA4">
      <w:pPr>
        <w:spacing w:line="360" w:lineRule="auto"/>
      </w:pPr>
      <w:r w:rsidRPr="005F1594">
        <w:t>Respecto al tratamiento, h</w:t>
      </w:r>
      <w:r w:rsidR="00031E9C" w:rsidRPr="005F1594">
        <w:t>ay consenso que l</w:t>
      </w:r>
      <w:r w:rsidRPr="005F1594">
        <w:t>a</w:t>
      </w:r>
      <w:r w:rsidR="00031E9C" w:rsidRPr="005F1594">
        <w:t xml:space="preserve"> t</w:t>
      </w:r>
      <w:r w:rsidRPr="005F1594">
        <w:t>erapia de</w:t>
      </w:r>
      <w:r w:rsidR="00031E9C" w:rsidRPr="005F1594">
        <w:t xml:space="preserve"> primera línea son los corticoides (</w:t>
      </w:r>
      <w:r w:rsidR="00771286">
        <w:t>10-13</w:t>
      </w:r>
      <w:r w:rsidR="00031E9C" w:rsidRPr="005F1594">
        <w:t>), especialmente en AH</w:t>
      </w:r>
      <w:r w:rsidR="008F4813" w:rsidRPr="005F1594">
        <w:t>AI</w:t>
      </w:r>
      <w:r w:rsidR="00031E9C" w:rsidRPr="005F1594">
        <w:t xml:space="preserve"> por </w:t>
      </w:r>
      <w:r w:rsidR="00EE3808">
        <w:t>Ig</w:t>
      </w:r>
      <w:r w:rsidR="00031E9C" w:rsidRPr="005F1594">
        <w:t xml:space="preserve"> calientes.</w:t>
      </w:r>
      <w:r w:rsidR="00B53CDE">
        <w:t xml:space="preserve"> Nuestra revisión evidencia cifras </w:t>
      </w:r>
      <w:r w:rsidR="007659D9" w:rsidRPr="005F1594">
        <w:t>c</w:t>
      </w:r>
      <w:r w:rsidR="00221585" w:rsidRPr="005F1594">
        <w:t>omp</w:t>
      </w:r>
      <w:r w:rsidR="00221585" w:rsidRPr="005F1594">
        <w:t>a</w:t>
      </w:r>
      <w:r w:rsidR="00221585" w:rsidRPr="005F1594">
        <w:t>rable</w:t>
      </w:r>
      <w:r w:rsidR="00B53CDE">
        <w:t xml:space="preserve"> de respuesta a las publicadas,  las </w:t>
      </w:r>
      <w:r w:rsidR="00221585" w:rsidRPr="005F1594">
        <w:t>que describe</w:t>
      </w:r>
      <w:r w:rsidR="00B53CDE">
        <w:t>n</w:t>
      </w:r>
      <w:r w:rsidR="00221585" w:rsidRPr="005F1594">
        <w:t xml:space="preserve"> una tasa de</w:t>
      </w:r>
      <w:r w:rsidR="00DE7EED" w:rsidRPr="005F1594">
        <w:t xml:space="preserve"> respuesta de alrededor de </w:t>
      </w:r>
      <w:r w:rsidR="00B53CDE">
        <w:t xml:space="preserve">un </w:t>
      </w:r>
      <w:r w:rsidR="00DE7EED" w:rsidRPr="005F1594">
        <w:t>80%</w:t>
      </w:r>
      <w:r w:rsidR="006A2343" w:rsidRPr="005F1594">
        <w:t>.</w:t>
      </w:r>
    </w:p>
    <w:p w14:paraId="258F2478" w14:textId="77777777" w:rsidR="0041712A" w:rsidRPr="005F1594" w:rsidRDefault="0092152E" w:rsidP="002075F6">
      <w:pPr>
        <w:spacing w:line="360" w:lineRule="auto"/>
      </w:pPr>
      <w:r w:rsidRPr="00577085">
        <w:t>A pesar de que la esplenectomía se describe clásicamente como una segunda línea de tr</w:t>
      </w:r>
      <w:r w:rsidRPr="00577085">
        <w:t>a</w:t>
      </w:r>
      <w:r w:rsidRPr="00577085">
        <w:t xml:space="preserve">tamiento, no se realizó en ninguno de nuestros pacientes. Esto se condice con la tendencia mundial de evitar este procedimiento. Por lo demás, se ha comprobado que no tiene mayor efectividad en AHAI secundaria, grupo en el cual se encuentran la mayoría de nuestros </w:t>
      </w:r>
      <w:r w:rsidRPr="00771286">
        <w:t>pacientes (</w:t>
      </w:r>
      <w:r w:rsidR="00771286" w:rsidRPr="00771286">
        <w:t>1-4</w:t>
      </w:r>
      <w:r w:rsidRPr="00771286">
        <w:t xml:space="preserve">). </w:t>
      </w:r>
    </w:p>
    <w:p w14:paraId="7F76E143" w14:textId="3935183E" w:rsidR="00D45095" w:rsidRPr="005F1594" w:rsidRDefault="00577085" w:rsidP="002075F6">
      <w:pPr>
        <w:spacing w:line="360" w:lineRule="auto"/>
      </w:pPr>
      <w:r>
        <w:t>El R</w:t>
      </w:r>
      <w:r w:rsidR="00D45095" w:rsidRPr="005F1594">
        <w:t>ituximab se recomienda en segunda línea con respuesta</w:t>
      </w:r>
      <w:r w:rsidR="00C97E94" w:rsidRPr="005F1594">
        <w:t xml:space="preserve"> global</w:t>
      </w:r>
      <w:r w:rsidR="00B53CDE">
        <w:t xml:space="preserve"> de 40% a </w:t>
      </w:r>
      <w:r w:rsidR="001E4EA4" w:rsidRPr="005F1594">
        <w:t>80%</w:t>
      </w:r>
      <w:r w:rsidR="00D45095" w:rsidRPr="005F1594">
        <w:t xml:space="preserve">. </w:t>
      </w:r>
      <w:r w:rsidR="002F4935">
        <w:t>To</w:t>
      </w:r>
      <w:r w:rsidR="00B53CDE">
        <w:t>dos nuestros pacientes respondieron, con un</w:t>
      </w:r>
      <w:r w:rsidR="00771286">
        <w:t xml:space="preserve"> tercio de recaídas</w:t>
      </w:r>
      <w:r w:rsidR="00A373F4">
        <w:t xml:space="preserve">, </w:t>
      </w:r>
      <w:r w:rsidR="00771286">
        <w:t>l</w:t>
      </w:r>
      <w:r w:rsidR="00A373F4">
        <w:t>o que coincide con lo descrito</w:t>
      </w:r>
      <w:r w:rsidR="00B53CDE">
        <w:t xml:space="preserve"> en la literatura</w:t>
      </w:r>
      <w:r w:rsidR="00A373F4">
        <w:t>.</w:t>
      </w:r>
    </w:p>
    <w:p w14:paraId="0EACC719" w14:textId="77777777" w:rsidR="00577085" w:rsidRDefault="00577085" w:rsidP="00636E0A">
      <w:pPr>
        <w:spacing w:line="360" w:lineRule="auto"/>
      </w:pPr>
    </w:p>
    <w:p w14:paraId="155EB206" w14:textId="0D4517EA" w:rsidR="00577085" w:rsidRPr="00410533" w:rsidRDefault="00577085" w:rsidP="00410533">
      <w:pPr>
        <w:spacing w:line="360" w:lineRule="auto"/>
        <w:rPr>
          <w:color w:val="FF0000"/>
        </w:rPr>
      </w:pPr>
      <w:r w:rsidRPr="00577085">
        <w:t>La respuesta al tratamiento inmunosupresor con c</w:t>
      </w:r>
      <w:r w:rsidR="00A373F4">
        <w:t xml:space="preserve">iclofosfamida/azathioprina </w:t>
      </w:r>
      <w:r w:rsidR="00B53CDE">
        <w:t xml:space="preserve">fue de un </w:t>
      </w:r>
      <w:r w:rsidR="00A373F4">
        <w:t xml:space="preserve"> 66</w:t>
      </w:r>
      <w:r w:rsidRPr="00577085">
        <w:t xml:space="preserve">%, similar a </w:t>
      </w:r>
      <w:r w:rsidR="00B53CDE">
        <w:t>lo publicado</w:t>
      </w:r>
      <w:r w:rsidRPr="00577085">
        <w:t>, que varía entre 60%-84% (</w:t>
      </w:r>
      <w:r w:rsidR="00EA6F79">
        <w:t>10,14</w:t>
      </w:r>
      <w:r w:rsidRPr="00EA6F79">
        <w:rPr>
          <w:lang w:val="es-CL"/>
        </w:rPr>
        <w:t xml:space="preserve">). </w:t>
      </w:r>
    </w:p>
    <w:p w14:paraId="6CE03C89" w14:textId="77777777" w:rsidR="00577085" w:rsidRDefault="00577085" w:rsidP="00636E0A">
      <w:pPr>
        <w:spacing w:line="360" w:lineRule="auto"/>
      </w:pPr>
    </w:p>
    <w:p w14:paraId="717F41FD" w14:textId="0876B7E9" w:rsidR="00636E0A" w:rsidRPr="00EA6F79" w:rsidRDefault="00665618" w:rsidP="00D06AE3">
      <w:pPr>
        <w:spacing w:line="360" w:lineRule="auto"/>
        <w:rPr>
          <w:color w:val="FF0000"/>
          <w:lang w:val="es-CL"/>
        </w:rPr>
      </w:pPr>
      <w:r w:rsidRPr="00665618">
        <w:t>La respuesta a los corticoides en la AHAI por Ig fríos es menor, lo que se rep</w:t>
      </w:r>
      <w:r>
        <w:t>roduce en nuestros pacientes. La</w:t>
      </w:r>
      <w:r w:rsidRPr="00665618">
        <w:t xml:space="preserve"> recomendación en primera línea en este tipo d</w:t>
      </w:r>
      <w:r>
        <w:t xml:space="preserve">e AHAI es el Rituxi-mab, </w:t>
      </w:r>
      <w:r w:rsidR="00636E0A">
        <w:t xml:space="preserve">ya que actúa directamente contra el linfocito B clonal. Las respuestas varían entre 45% y 58%, siendo </w:t>
      </w:r>
      <w:r w:rsidR="00633DC6">
        <w:t xml:space="preserve">mayor en nuestra cohorte. Sin embargo, el número de pacientes con AHAI de </w:t>
      </w:r>
      <w:r w:rsidR="00EE3808">
        <w:t>Ig</w:t>
      </w:r>
      <w:r w:rsidR="00633DC6">
        <w:t xml:space="preserve"> fríos en nuestra serie es reducido, lo que podría explicar esta </w:t>
      </w:r>
      <w:r w:rsidR="00633DC6" w:rsidRPr="00EA6F79">
        <w:t xml:space="preserve">diferencia </w:t>
      </w:r>
      <w:r w:rsidR="00636E0A" w:rsidRPr="00EA6F79">
        <w:t>(</w:t>
      </w:r>
      <w:r w:rsidR="00EA6F79" w:rsidRPr="00EA6F79">
        <w:t>12,13).</w:t>
      </w:r>
      <w:r w:rsidR="00636E0A" w:rsidRPr="00EA6F79">
        <w:rPr>
          <w:lang w:val="es-CL"/>
        </w:rPr>
        <w:t xml:space="preserve"> </w:t>
      </w:r>
    </w:p>
    <w:p w14:paraId="3A13683E" w14:textId="77777777" w:rsidR="00D45095" w:rsidRPr="00EA6F79" w:rsidRDefault="00D45095" w:rsidP="002075F6">
      <w:pPr>
        <w:spacing w:line="360" w:lineRule="auto"/>
        <w:rPr>
          <w:lang w:val="es-CL"/>
        </w:rPr>
      </w:pPr>
    </w:p>
    <w:p w14:paraId="1592EA91" w14:textId="31382520" w:rsidR="00DE7EED" w:rsidRPr="005F1594" w:rsidRDefault="00D9304E" w:rsidP="002075F6">
      <w:pPr>
        <w:spacing w:line="360" w:lineRule="auto"/>
      </w:pPr>
      <w:r w:rsidRPr="00D9304E">
        <w:rPr>
          <w:lang w:val="es-CL"/>
        </w:rPr>
        <w:t>La sobrevida global fue menor a lo reportado en otras series, las que la describen por sobre el 80% a 5 años (15).</w:t>
      </w:r>
      <w:r>
        <w:rPr>
          <w:lang w:val="es-CL"/>
        </w:rPr>
        <w:t xml:space="preserve"> </w:t>
      </w:r>
      <w:r w:rsidR="009C4528">
        <w:rPr>
          <w:lang w:val="es-CL"/>
        </w:rPr>
        <w:t xml:space="preserve">Una explicación podría ser el mayor número casos de </w:t>
      </w:r>
      <w:r w:rsidR="00067D6E" w:rsidRPr="005F1594">
        <w:t>AHAI secund</w:t>
      </w:r>
      <w:r w:rsidR="00067D6E" w:rsidRPr="005F1594">
        <w:t>a</w:t>
      </w:r>
      <w:r w:rsidR="00067D6E" w:rsidRPr="005F1594">
        <w:t xml:space="preserve">ria, especialmente </w:t>
      </w:r>
      <w:r w:rsidR="002A16D5">
        <w:t xml:space="preserve">a </w:t>
      </w:r>
      <w:r w:rsidR="00067D6E" w:rsidRPr="005F1594">
        <w:t>neopl</w:t>
      </w:r>
      <w:r w:rsidR="009C4528">
        <w:t>asias hematológicas y tumores sólidos</w:t>
      </w:r>
      <w:r w:rsidR="00633DC6">
        <w:t xml:space="preserve">, ya que la mayoría de los fallecidos </w:t>
      </w:r>
      <w:r w:rsidR="002A16D5">
        <w:t>fue por neoplasia</w:t>
      </w:r>
      <w:r w:rsidR="005D547C" w:rsidRPr="005F1594">
        <w:t>.</w:t>
      </w:r>
    </w:p>
    <w:p w14:paraId="403D8090" w14:textId="77777777" w:rsidR="00951572" w:rsidRPr="005F1594" w:rsidRDefault="00951572" w:rsidP="002075F6">
      <w:pPr>
        <w:spacing w:line="360" w:lineRule="auto"/>
      </w:pPr>
    </w:p>
    <w:p w14:paraId="5CB2E5FC" w14:textId="3E760086" w:rsidR="00D9304E" w:rsidRDefault="00D9304E" w:rsidP="002075F6">
      <w:pPr>
        <w:spacing w:line="360" w:lineRule="auto"/>
      </w:pPr>
      <w:r w:rsidRPr="00D9304E">
        <w:t>En nuestro centro,</w:t>
      </w:r>
      <w:r w:rsidR="002F4935">
        <w:t xml:space="preserve"> los pacientes con AHAI severa </w:t>
      </w:r>
      <w:r w:rsidRPr="00D9304E">
        <w:t xml:space="preserve">que requieren hospitalización, tienen características similares a lo descrito en la literatura. Sin embargo, nuestra revisión de casos </w:t>
      </w:r>
      <w:r w:rsidR="00EF05AA">
        <w:t>mostró a las</w:t>
      </w:r>
      <w:r w:rsidRPr="00D9304E">
        <w:t xml:space="preserve"> AHAI secundaria</w:t>
      </w:r>
      <w:r w:rsidR="00EF05AA">
        <w:t>s como las más frecuentes</w:t>
      </w:r>
      <w:r w:rsidRPr="00D9304E">
        <w:t>, lo que pudo determinar la mayor mortalidad observada. Por este motivo creemos que es necesario el estudio exhaustivo dir</w:t>
      </w:r>
      <w:r w:rsidRPr="00D9304E">
        <w:t>i</w:t>
      </w:r>
      <w:r w:rsidRPr="00D9304E">
        <w:t xml:space="preserve">gido a descartar una etiología subyacente en todo paciente </w:t>
      </w:r>
      <w:r w:rsidR="00EF05AA">
        <w:t>en el que</w:t>
      </w:r>
      <w:r w:rsidRPr="00D9304E">
        <w:t xml:space="preserve"> se diagnostique con AHAI</w:t>
      </w:r>
      <w:r>
        <w:t>.</w:t>
      </w:r>
    </w:p>
    <w:p w14:paraId="3B3025A4" w14:textId="77777777" w:rsidR="00D9304E" w:rsidRDefault="00D9304E" w:rsidP="002075F6">
      <w:pPr>
        <w:spacing w:line="360" w:lineRule="auto"/>
      </w:pPr>
    </w:p>
    <w:p w14:paraId="0828FDA8" w14:textId="77777777" w:rsidR="00B45E29" w:rsidRDefault="00B45E29" w:rsidP="002075F6">
      <w:pPr>
        <w:spacing w:line="360" w:lineRule="auto"/>
      </w:pPr>
    </w:p>
    <w:p w14:paraId="2797CDA1" w14:textId="77777777" w:rsidR="00B45E29" w:rsidRDefault="00B45E29" w:rsidP="002075F6">
      <w:pPr>
        <w:spacing w:line="360" w:lineRule="auto"/>
      </w:pPr>
    </w:p>
    <w:p w14:paraId="05B86ACA" w14:textId="77777777" w:rsidR="00B45E29" w:rsidRDefault="00B45E29" w:rsidP="002075F6">
      <w:pPr>
        <w:spacing w:line="360" w:lineRule="auto"/>
      </w:pPr>
    </w:p>
    <w:p w14:paraId="0EE57DEF" w14:textId="77777777" w:rsidR="00B45E29" w:rsidRDefault="00B45E29" w:rsidP="002075F6">
      <w:pPr>
        <w:spacing w:line="360" w:lineRule="auto"/>
      </w:pPr>
    </w:p>
    <w:p w14:paraId="151CF64B" w14:textId="77777777" w:rsidR="00B45E29" w:rsidRDefault="00B45E29" w:rsidP="002075F6">
      <w:pPr>
        <w:spacing w:line="360" w:lineRule="auto"/>
      </w:pPr>
    </w:p>
    <w:p w14:paraId="13216521" w14:textId="77777777" w:rsidR="00B45E29" w:rsidRDefault="00B45E29" w:rsidP="002075F6">
      <w:pPr>
        <w:spacing w:line="360" w:lineRule="auto"/>
      </w:pPr>
    </w:p>
    <w:p w14:paraId="03315A37" w14:textId="77777777" w:rsidR="00B45E29" w:rsidRDefault="00B45E29" w:rsidP="002075F6">
      <w:pPr>
        <w:spacing w:line="360" w:lineRule="auto"/>
      </w:pPr>
    </w:p>
    <w:p w14:paraId="175E9E70" w14:textId="77777777" w:rsidR="00B45E29" w:rsidRDefault="00B45E29" w:rsidP="002075F6">
      <w:pPr>
        <w:spacing w:line="360" w:lineRule="auto"/>
      </w:pPr>
    </w:p>
    <w:p w14:paraId="23F0F9D8" w14:textId="77777777" w:rsidR="00B45E29" w:rsidRDefault="00B45E29" w:rsidP="002075F6">
      <w:pPr>
        <w:spacing w:line="360" w:lineRule="auto"/>
      </w:pPr>
    </w:p>
    <w:p w14:paraId="6EADA510" w14:textId="77777777" w:rsidR="00B45E29" w:rsidRDefault="00B45E29" w:rsidP="002075F6">
      <w:pPr>
        <w:spacing w:line="360" w:lineRule="auto"/>
      </w:pPr>
    </w:p>
    <w:p w14:paraId="16A24F9A" w14:textId="77777777" w:rsidR="00B45E29" w:rsidRDefault="00B45E29" w:rsidP="002075F6">
      <w:pPr>
        <w:spacing w:line="360" w:lineRule="auto"/>
      </w:pPr>
    </w:p>
    <w:p w14:paraId="6BD472ED" w14:textId="77777777" w:rsidR="00B45E29" w:rsidRDefault="00B45E29" w:rsidP="002075F6">
      <w:pPr>
        <w:spacing w:line="360" w:lineRule="auto"/>
      </w:pPr>
    </w:p>
    <w:p w14:paraId="5049DFD7" w14:textId="77777777" w:rsidR="00B45E29" w:rsidRDefault="00B45E29" w:rsidP="002075F6">
      <w:pPr>
        <w:spacing w:line="360" w:lineRule="auto"/>
      </w:pPr>
    </w:p>
    <w:p w14:paraId="3D1D0AC1" w14:textId="77777777" w:rsidR="00B45E29" w:rsidRDefault="00B45E29" w:rsidP="002075F6">
      <w:pPr>
        <w:spacing w:line="360" w:lineRule="auto"/>
      </w:pPr>
    </w:p>
    <w:p w14:paraId="1E326B2D" w14:textId="77777777" w:rsidR="00B45E29" w:rsidRDefault="00B45E29" w:rsidP="002075F6">
      <w:pPr>
        <w:spacing w:line="360" w:lineRule="auto"/>
      </w:pPr>
    </w:p>
    <w:p w14:paraId="0F4667C1" w14:textId="77777777" w:rsidR="00B45E29" w:rsidRDefault="00B45E29" w:rsidP="002075F6">
      <w:pPr>
        <w:spacing w:line="360" w:lineRule="auto"/>
      </w:pPr>
    </w:p>
    <w:p w14:paraId="37EBE89A" w14:textId="77777777" w:rsidR="002C3FF6" w:rsidRDefault="002C3FF6" w:rsidP="002075F6">
      <w:pPr>
        <w:spacing w:line="360" w:lineRule="auto"/>
      </w:pPr>
    </w:p>
    <w:p w14:paraId="704738A1" w14:textId="77777777" w:rsidR="002C3FF6" w:rsidRDefault="002C3FF6" w:rsidP="002075F6">
      <w:pPr>
        <w:spacing w:line="360" w:lineRule="auto"/>
      </w:pPr>
    </w:p>
    <w:p w14:paraId="1B0718C1" w14:textId="77777777" w:rsidR="00B45E29" w:rsidRDefault="00B45E29" w:rsidP="002075F6">
      <w:pPr>
        <w:spacing w:line="360" w:lineRule="auto"/>
      </w:pPr>
    </w:p>
    <w:p w14:paraId="3694CD59" w14:textId="4120CA43" w:rsidR="00997869" w:rsidRDefault="00D9304E" w:rsidP="002075F6">
      <w:pPr>
        <w:spacing w:line="360" w:lineRule="auto"/>
      </w:pPr>
      <w:r>
        <w:t>Refer</w:t>
      </w:r>
      <w:r w:rsidR="00997869">
        <w:t>encias</w:t>
      </w:r>
    </w:p>
    <w:p w14:paraId="0596A9A0" w14:textId="77777777" w:rsidR="00EA6F79" w:rsidRPr="00EA6F79" w:rsidRDefault="00997869" w:rsidP="00EA6F79">
      <w:pPr>
        <w:spacing w:line="360" w:lineRule="auto"/>
        <w:rPr>
          <w:lang w:val="en-US"/>
        </w:rPr>
      </w:pPr>
      <w:r>
        <w:t>1.-</w:t>
      </w:r>
      <w:r w:rsidR="00EA6F79" w:rsidRPr="00EA6F79">
        <w:t xml:space="preserve"> Bass GF, Tuscano MT, Tusca</w:t>
      </w:r>
      <w:r w:rsidR="00AC40BE">
        <w:t>no JM</w:t>
      </w:r>
      <w:r w:rsidR="00EA6F79" w:rsidRPr="00AC40BE">
        <w:rPr>
          <w:lang w:val="es-CL"/>
        </w:rPr>
        <w:t xml:space="preserve">. </w:t>
      </w:r>
      <w:r w:rsidR="00EA6F79" w:rsidRPr="00EA6F79">
        <w:rPr>
          <w:lang w:val="en-US"/>
        </w:rPr>
        <w:t>Diagnosis and classification of autoimmune hem</w:t>
      </w:r>
      <w:r w:rsidR="00EA6F79" w:rsidRPr="00EA6F79">
        <w:rPr>
          <w:lang w:val="en-US"/>
        </w:rPr>
        <w:t>o</w:t>
      </w:r>
      <w:r w:rsidR="00EA6F79" w:rsidRPr="00EA6F79">
        <w:rPr>
          <w:lang w:val="en-US"/>
        </w:rPr>
        <w:t>lytic anemia.Autoimmunity Reviews. 2014:13: 560–564.</w:t>
      </w:r>
    </w:p>
    <w:p w14:paraId="7FF60DE0" w14:textId="77777777" w:rsidR="00EA6F79" w:rsidRPr="00EA6F79" w:rsidRDefault="00EA6F79" w:rsidP="00EA6F79">
      <w:pPr>
        <w:spacing w:line="360" w:lineRule="auto"/>
        <w:rPr>
          <w:lang w:val="en-US"/>
        </w:rPr>
      </w:pPr>
      <w:r w:rsidRPr="00EA6F79">
        <w:rPr>
          <w:lang w:val="en-US"/>
        </w:rPr>
        <w:t>2.</w:t>
      </w:r>
      <w:r w:rsidRPr="00EA6F79">
        <w:rPr>
          <w:lang w:val="en-US"/>
        </w:rPr>
        <w:tab/>
        <w:t>Seve P, Philippe P, Dufoir JP, Broussolle C, and Michel M. Autoimmune</w:t>
      </w:r>
      <w:r w:rsidR="00AC40BE">
        <w:rPr>
          <w:lang w:val="en-US"/>
        </w:rPr>
        <w:t xml:space="preserve"> </w:t>
      </w:r>
      <w:r w:rsidRPr="00EA6F79">
        <w:rPr>
          <w:lang w:val="en-US"/>
        </w:rPr>
        <w:t>hemolytic anemia: classification and therapeutic</w:t>
      </w:r>
      <w:r w:rsidR="00AC40BE">
        <w:rPr>
          <w:lang w:val="en-US"/>
        </w:rPr>
        <w:t xml:space="preserve"> </w:t>
      </w:r>
      <w:r w:rsidRPr="00EA6F79">
        <w:rPr>
          <w:lang w:val="en-US"/>
        </w:rPr>
        <w:t>approaches. Expert Rev. Hematol. 2008;189-204.</w:t>
      </w:r>
    </w:p>
    <w:p w14:paraId="1D7F57C4" w14:textId="77777777" w:rsidR="00EA6F79" w:rsidRPr="00EA6F79" w:rsidRDefault="00EA6F79" w:rsidP="00EA6F79">
      <w:pPr>
        <w:spacing w:line="360" w:lineRule="auto"/>
        <w:rPr>
          <w:lang w:val="en-US"/>
        </w:rPr>
      </w:pPr>
      <w:r w:rsidRPr="00EA6F79">
        <w:rPr>
          <w:lang w:val="en-US"/>
        </w:rPr>
        <w:t>3.</w:t>
      </w:r>
      <w:r w:rsidRPr="00EA6F79">
        <w:rPr>
          <w:lang w:val="en-US"/>
        </w:rPr>
        <w:tab/>
        <w:t>Roumier M,  Valentine Loustau V, Guillaud C, Languille L, MahevasM,</w:t>
      </w:r>
      <w:r w:rsidR="00AC40BE">
        <w:rPr>
          <w:lang w:val="en-US"/>
        </w:rPr>
        <w:t xml:space="preserve"> </w:t>
      </w:r>
      <w:r w:rsidRPr="00EA6F79">
        <w:rPr>
          <w:lang w:val="en-US"/>
        </w:rPr>
        <w:t>Khellaf</w:t>
      </w:r>
      <w:r w:rsidR="00AC40BE">
        <w:rPr>
          <w:lang w:val="en-US"/>
        </w:rPr>
        <w:t xml:space="preserve"> </w:t>
      </w:r>
      <w:r w:rsidRPr="00EA6F79">
        <w:rPr>
          <w:lang w:val="en-US"/>
        </w:rPr>
        <w:t>M,</w:t>
      </w:r>
      <w:r w:rsidR="00AC40BE">
        <w:rPr>
          <w:lang w:val="en-US"/>
        </w:rPr>
        <w:t xml:space="preserve"> </w:t>
      </w:r>
      <w:r w:rsidRPr="00EA6F79">
        <w:rPr>
          <w:lang w:val="en-US"/>
        </w:rPr>
        <w:t xml:space="preserve">et al. Characteristics and outcome of warm autoimmune hemolytic anemia in adults: new insights based on a single-center experience with 60 patients. Am. J. Hematol. 2014; 89:E150–E155.  </w:t>
      </w:r>
    </w:p>
    <w:p w14:paraId="3956CAC0" w14:textId="77777777" w:rsidR="00EA6F79" w:rsidRPr="00665618" w:rsidRDefault="00AC40BE" w:rsidP="00EA6F79">
      <w:pPr>
        <w:spacing w:line="360" w:lineRule="auto"/>
        <w:rPr>
          <w:lang w:val="es-CL"/>
        </w:rPr>
      </w:pPr>
      <w:r>
        <w:rPr>
          <w:lang w:val="en-US"/>
        </w:rPr>
        <w:t>4.</w:t>
      </w:r>
      <w:r>
        <w:rPr>
          <w:lang w:val="en-US"/>
        </w:rPr>
        <w:tab/>
      </w:r>
      <w:r w:rsidR="004931E5">
        <w:rPr>
          <w:lang w:val="en-US"/>
        </w:rPr>
        <w:t>Barcellini W</w:t>
      </w:r>
      <w:r w:rsidR="004931E5" w:rsidRPr="004931E5">
        <w:rPr>
          <w:lang w:val="en-US"/>
        </w:rPr>
        <w:t>, Fattizzo B</w:t>
      </w:r>
      <w:r w:rsidR="004931E5">
        <w:rPr>
          <w:lang w:val="en-US"/>
        </w:rPr>
        <w:t>.</w:t>
      </w:r>
      <w:r w:rsidR="004931E5" w:rsidRPr="004931E5">
        <w:rPr>
          <w:lang w:val="en-US"/>
        </w:rPr>
        <w:t xml:space="preserve"> </w:t>
      </w:r>
      <w:r w:rsidR="00EA6F79" w:rsidRPr="00EA6F79">
        <w:rPr>
          <w:lang w:val="en-US"/>
        </w:rPr>
        <w:t>Clinical Applications of Hemolytic Markers inthe Diffe</w:t>
      </w:r>
      <w:r w:rsidR="00EA6F79" w:rsidRPr="00EA6F79">
        <w:rPr>
          <w:lang w:val="en-US"/>
        </w:rPr>
        <w:t>r</w:t>
      </w:r>
      <w:r w:rsidR="00EA6F79" w:rsidRPr="00EA6F79">
        <w:rPr>
          <w:lang w:val="en-US"/>
        </w:rPr>
        <w:t>ential Diagnosis and Management of Hemolytic Anemia.</w:t>
      </w:r>
      <w:r w:rsidR="00FB069B">
        <w:rPr>
          <w:lang w:val="en-US"/>
        </w:rPr>
        <w:t xml:space="preserve"> </w:t>
      </w:r>
      <w:r w:rsidR="00FB069B" w:rsidRPr="00665618">
        <w:rPr>
          <w:lang w:val="es-CL"/>
        </w:rPr>
        <w:t>Dis Markers. 2015;2015:635670.</w:t>
      </w:r>
    </w:p>
    <w:p w14:paraId="51AD0BB4" w14:textId="77777777" w:rsidR="00EA6F79" w:rsidRPr="00EA6F79" w:rsidRDefault="00EA6F79" w:rsidP="00EA6F79">
      <w:pPr>
        <w:spacing w:line="360" w:lineRule="auto"/>
      </w:pPr>
      <w:r w:rsidRPr="00EA6F79">
        <w:t>5.</w:t>
      </w:r>
      <w:r w:rsidRPr="00EA6F79">
        <w:tab/>
        <w:t>Enberg M, Yaquich P, Pilasi C, Thompson L, Oddó D y Bronfman L. Anemia h</w:t>
      </w:r>
      <w:r w:rsidRPr="00EA6F79">
        <w:t>e</w:t>
      </w:r>
      <w:r w:rsidRPr="00EA6F79">
        <w:t>molítica autoinmune en paciente infectado por virus de inmunodeficiencia humana y e</w:t>
      </w:r>
      <w:r w:rsidRPr="00EA6F79">
        <w:t>n</w:t>
      </w:r>
      <w:r w:rsidRPr="00EA6F79">
        <w:t>fermedad de Castleman. Caso clínico. RevChil Infect.2002; 19 (4): 231-236.</w:t>
      </w:r>
    </w:p>
    <w:p w14:paraId="76A6DE11" w14:textId="77777777" w:rsidR="00EA6F79" w:rsidRPr="00EA6F79" w:rsidRDefault="00EA6F79" w:rsidP="00EA6F79">
      <w:pPr>
        <w:spacing w:line="360" w:lineRule="auto"/>
        <w:rPr>
          <w:lang w:val="en-US"/>
        </w:rPr>
      </w:pPr>
      <w:r w:rsidRPr="00EA6F79">
        <w:t>6.</w:t>
      </w:r>
      <w:r w:rsidRPr="00EA6F79">
        <w:tab/>
        <w:t xml:space="preserve">Barcellini W, Fattizzo B, Zaninoni A, Radice T, Nichele I, Di Bona E, et al. </w:t>
      </w:r>
      <w:r w:rsidRPr="00EA6F79">
        <w:rPr>
          <w:lang w:val="en-US"/>
        </w:rPr>
        <w:t>Clinical heterogeneity and predictors of outcome in primary autoimmune hemolytic anemia: a GIMEMA study of 308 patients.</w:t>
      </w:r>
      <w:r w:rsidR="00FB069B">
        <w:rPr>
          <w:lang w:val="en-US"/>
        </w:rPr>
        <w:t xml:space="preserve"> Blood. 2014;124(19):2930-2936.</w:t>
      </w:r>
    </w:p>
    <w:p w14:paraId="7AA21EAB" w14:textId="77777777" w:rsidR="00EA6F79" w:rsidRPr="00EA6F79" w:rsidRDefault="00EA6F79" w:rsidP="00EA6F79">
      <w:pPr>
        <w:spacing w:line="360" w:lineRule="auto"/>
        <w:rPr>
          <w:lang w:val="en-US"/>
        </w:rPr>
      </w:pPr>
      <w:r w:rsidRPr="00EA6F79">
        <w:rPr>
          <w:lang w:val="en-US"/>
        </w:rPr>
        <w:t>7.</w:t>
      </w:r>
      <w:r w:rsidRPr="00EA6F79">
        <w:rPr>
          <w:lang w:val="en-US"/>
        </w:rPr>
        <w:tab/>
        <w:t>Sallah S, Wan JY, Hanrahan LR. Future development of lymphoproliferative diso</w:t>
      </w:r>
      <w:r w:rsidRPr="00EA6F79">
        <w:rPr>
          <w:lang w:val="en-US"/>
        </w:rPr>
        <w:t>r</w:t>
      </w:r>
      <w:r w:rsidRPr="00EA6F79">
        <w:rPr>
          <w:lang w:val="en-US"/>
        </w:rPr>
        <w:t>ders in patients with autoimmune hemolytic anemia. Clin Cancer Res. 2001;7:791-794.</w:t>
      </w:r>
    </w:p>
    <w:p w14:paraId="387F86EC" w14:textId="77777777" w:rsidR="00EA6F79" w:rsidRPr="00EA6F79" w:rsidRDefault="00EA6F79" w:rsidP="00EA6F79">
      <w:pPr>
        <w:spacing w:line="360" w:lineRule="auto"/>
        <w:rPr>
          <w:lang w:val="en-US"/>
        </w:rPr>
      </w:pPr>
      <w:r w:rsidRPr="00EA6F79">
        <w:rPr>
          <w:lang w:val="en-US"/>
        </w:rPr>
        <w:t>8.</w:t>
      </w:r>
      <w:r w:rsidRPr="00EA6F79">
        <w:rPr>
          <w:lang w:val="en-US"/>
        </w:rPr>
        <w:tab/>
        <w:t>Berentsen S, Randen U, Tjønnfjord GE. Cold Agglutinin-Mediated Autoimmune Hemolytic Anemia. HematolOncolClin N Am.2015;29: 455–471.</w:t>
      </w:r>
    </w:p>
    <w:p w14:paraId="0F67EEDE" w14:textId="77777777" w:rsidR="00EA6F79" w:rsidRPr="00EA6F79" w:rsidRDefault="00EA6F79" w:rsidP="00EA6F79">
      <w:pPr>
        <w:spacing w:line="360" w:lineRule="auto"/>
        <w:rPr>
          <w:lang w:val="en-US"/>
        </w:rPr>
      </w:pPr>
      <w:r w:rsidRPr="00EA6F79">
        <w:rPr>
          <w:lang w:val="en-US"/>
        </w:rPr>
        <w:t>9.</w:t>
      </w:r>
      <w:r w:rsidRPr="00EA6F79">
        <w:rPr>
          <w:lang w:val="en-US"/>
        </w:rPr>
        <w:tab/>
        <w:t xml:space="preserve">Berentsen S, Ulvestad E, Langholm R, </w:t>
      </w:r>
      <w:r w:rsidR="00A8501C" w:rsidRPr="00A8501C">
        <w:rPr>
          <w:lang w:val="en-US"/>
        </w:rPr>
        <w:t>Beiske K, Hjorth-Hansen H, Ghanima W</w:t>
      </w:r>
      <w:r w:rsidR="00A8501C">
        <w:rPr>
          <w:lang w:val="en-US"/>
        </w:rPr>
        <w:t xml:space="preserve">, </w:t>
      </w:r>
      <w:r w:rsidRPr="00EA6F79">
        <w:rPr>
          <w:lang w:val="en-US"/>
        </w:rPr>
        <w:t>et al. Primary chronic cold agglutinin disease: a population based clinical study of 86 patients. Haematologica 2006;91(4):460–6.</w:t>
      </w:r>
    </w:p>
    <w:p w14:paraId="21437A0A" w14:textId="77777777" w:rsidR="00EA6F79" w:rsidRPr="00EA6F79" w:rsidRDefault="00EA6F79" w:rsidP="00EA6F79">
      <w:pPr>
        <w:spacing w:line="360" w:lineRule="auto"/>
        <w:rPr>
          <w:lang w:val="en-US"/>
        </w:rPr>
      </w:pPr>
      <w:r w:rsidRPr="00EA6F79">
        <w:rPr>
          <w:lang w:val="en-US"/>
        </w:rPr>
        <w:t>10.</w:t>
      </w:r>
      <w:r w:rsidRPr="00EA6F79">
        <w:rPr>
          <w:lang w:val="en-US"/>
        </w:rPr>
        <w:tab/>
        <w:t xml:space="preserve">Liebman HA, Weitz IC. Autoimmune Hemolytic Anemia. Med Clin N Am. 2017; 101: 351–359. </w:t>
      </w:r>
    </w:p>
    <w:p w14:paraId="34AD9EBC" w14:textId="77777777" w:rsidR="00EA6F79" w:rsidRPr="00EA6F79" w:rsidRDefault="00EA6F79" w:rsidP="00EA6F79">
      <w:pPr>
        <w:spacing w:line="360" w:lineRule="auto"/>
        <w:rPr>
          <w:lang w:val="en-US"/>
        </w:rPr>
      </w:pPr>
      <w:r w:rsidRPr="00EA6F79">
        <w:rPr>
          <w:lang w:val="en-US"/>
        </w:rPr>
        <w:t>11.</w:t>
      </w:r>
      <w:r w:rsidRPr="00EA6F79">
        <w:rPr>
          <w:lang w:val="en-US"/>
        </w:rPr>
        <w:tab/>
        <w:t xml:space="preserve">Maung SW, Leahy M, O’Leary HM, Khan I, Cahill MR, Gilligan O, </w:t>
      </w:r>
      <w:r w:rsidR="0068345B" w:rsidRPr="00EA6F79">
        <w:rPr>
          <w:lang w:val="en-US"/>
        </w:rPr>
        <w:t>et al</w:t>
      </w:r>
      <w:r w:rsidRPr="00EA6F79">
        <w:rPr>
          <w:lang w:val="en-US"/>
        </w:rPr>
        <w:t>. A multi-centre retrospective study of rituximab use in the treatment of relapsed or resistant warm autoimmune haemolyticanaemia. Br J Haematol. 2013: 163, 118–122.</w:t>
      </w:r>
    </w:p>
    <w:p w14:paraId="03AF689E" w14:textId="77777777" w:rsidR="00EA6F79" w:rsidRPr="00EA6F79" w:rsidRDefault="00EA6F79" w:rsidP="00EA6F79">
      <w:pPr>
        <w:spacing w:line="360" w:lineRule="auto"/>
        <w:rPr>
          <w:lang w:val="en-US"/>
        </w:rPr>
      </w:pPr>
      <w:r w:rsidRPr="00EA6F79">
        <w:rPr>
          <w:lang w:val="en-US"/>
        </w:rPr>
        <w:lastRenderedPageBreak/>
        <w:t>12.</w:t>
      </w:r>
      <w:r w:rsidRPr="00EA6F79">
        <w:rPr>
          <w:lang w:val="en-US"/>
        </w:rPr>
        <w:tab/>
        <w:t xml:space="preserve">Schollkopf C, Kjeldsen L, Bjerrum OW, </w:t>
      </w:r>
      <w:r w:rsidR="0068345B" w:rsidRPr="0068345B">
        <w:rPr>
          <w:lang w:val="en-US"/>
        </w:rPr>
        <w:t>Mourits-Andersen HT, Nielsen JL, Chri</w:t>
      </w:r>
      <w:r w:rsidR="0068345B" w:rsidRPr="0068345B">
        <w:rPr>
          <w:lang w:val="en-US"/>
        </w:rPr>
        <w:t>s</w:t>
      </w:r>
      <w:r w:rsidR="0068345B" w:rsidRPr="0068345B">
        <w:rPr>
          <w:lang w:val="en-US"/>
        </w:rPr>
        <w:t>tensen BE</w:t>
      </w:r>
      <w:r w:rsidR="0068345B">
        <w:rPr>
          <w:lang w:val="en-US"/>
        </w:rPr>
        <w:t xml:space="preserve">, </w:t>
      </w:r>
      <w:r w:rsidRPr="00EA6F79">
        <w:rPr>
          <w:lang w:val="en-US"/>
        </w:rPr>
        <w:t>et al. Rituximab in chronic cold agglutinin disease: a prospective study of 20 patients. Leuk Lymphoma 2006;47(2):253–60.</w:t>
      </w:r>
    </w:p>
    <w:p w14:paraId="7B4D3276" w14:textId="77777777" w:rsidR="00EA6F79" w:rsidRPr="00EA6F79" w:rsidRDefault="00712231" w:rsidP="00EA6F79">
      <w:pPr>
        <w:spacing w:line="360" w:lineRule="auto"/>
        <w:rPr>
          <w:lang w:val="en-US"/>
        </w:rPr>
      </w:pPr>
      <w:r>
        <w:rPr>
          <w:lang w:val="en-US"/>
        </w:rPr>
        <w:t>13.</w:t>
      </w:r>
      <w:r>
        <w:rPr>
          <w:lang w:val="en-US"/>
        </w:rPr>
        <w:tab/>
        <w:t xml:space="preserve">Go RS, Winters JL, </w:t>
      </w:r>
      <w:r w:rsidR="00EA6F79" w:rsidRPr="00EA6F79">
        <w:rPr>
          <w:lang w:val="en-US"/>
        </w:rPr>
        <w:t>Kay NE. How I treatautoimmunehemolytic anemia Blood. 2017; 129:2971-79.</w:t>
      </w:r>
    </w:p>
    <w:p w14:paraId="5B95DA7E" w14:textId="77777777" w:rsidR="00EA6F79" w:rsidRPr="00665618" w:rsidRDefault="00EA6F79" w:rsidP="00EA6F79">
      <w:pPr>
        <w:spacing w:line="360" w:lineRule="auto"/>
        <w:rPr>
          <w:lang w:val="en-US"/>
        </w:rPr>
      </w:pPr>
      <w:r w:rsidRPr="00EA6F79">
        <w:rPr>
          <w:lang w:val="en-US"/>
        </w:rPr>
        <w:t>14.</w:t>
      </w:r>
      <w:r w:rsidRPr="00EA6F79">
        <w:rPr>
          <w:lang w:val="en-US"/>
        </w:rPr>
        <w:tab/>
        <w:t xml:space="preserve">Michel M. Warm autoimmune hemolytic anemia: Advances in pathophysiology and treatment. </w:t>
      </w:r>
      <w:r w:rsidRPr="00665618">
        <w:rPr>
          <w:lang w:val="en-US"/>
        </w:rPr>
        <w:t>Presse Med. 2014; 43: e97–e104. 12.</w:t>
      </w:r>
    </w:p>
    <w:p w14:paraId="1EEBF6E8" w14:textId="5C931E27" w:rsidR="00997869" w:rsidRDefault="00EA6F79" w:rsidP="00EA6F79">
      <w:pPr>
        <w:spacing w:line="360" w:lineRule="auto"/>
        <w:rPr>
          <w:lang w:val="en-US"/>
        </w:rPr>
      </w:pPr>
      <w:r w:rsidRPr="00EA6F79">
        <w:rPr>
          <w:lang w:val="en-US"/>
        </w:rPr>
        <w:t>15.</w:t>
      </w:r>
      <w:r w:rsidRPr="00EA6F79">
        <w:rPr>
          <w:lang w:val="en-US"/>
        </w:rPr>
        <w:tab/>
        <w:t>Rattarittamrong E, Eiamprapai P, Tantiworawit A, Rattanathammethee T, Ha</w:t>
      </w:r>
      <w:r w:rsidRPr="00EA6F79">
        <w:rPr>
          <w:lang w:val="en-US"/>
        </w:rPr>
        <w:t>n</w:t>
      </w:r>
      <w:r w:rsidRPr="00EA6F79">
        <w:rPr>
          <w:lang w:val="en-US"/>
        </w:rPr>
        <w:t>trakool S, Chai-Adisaksopha C, et al. Clinical characteristics and long-term outcomes of warm-type autoimmune hemolytic anemia.</w:t>
      </w:r>
      <w:r w:rsidR="00334FB5">
        <w:rPr>
          <w:lang w:val="en-US"/>
        </w:rPr>
        <w:t xml:space="preserve"> </w:t>
      </w:r>
      <w:r w:rsidRPr="00EA6F79">
        <w:rPr>
          <w:lang w:val="en-US"/>
        </w:rPr>
        <w:t>Hematology. 2016 Jul;21(6):368-74.</w:t>
      </w:r>
    </w:p>
    <w:p w14:paraId="7EAA96FB" w14:textId="0E30A626" w:rsidR="00600544" w:rsidRPr="00A672EA" w:rsidRDefault="00600544" w:rsidP="00600544">
      <w:pPr>
        <w:widowControl w:val="0"/>
        <w:autoSpaceDE w:val="0"/>
        <w:autoSpaceDN w:val="0"/>
        <w:adjustRightInd w:val="0"/>
        <w:spacing w:line="360" w:lineRule="auto"/>
        <w:rPr>
          <w:lang w:val="en-US" w:eastAsia="en-US"/>
        </w:rPr>
      </w:pPr>
      <w:r w:rsidRPr="00600544">
        <w:rPr>
          <w:lang w:val="en-US"/>
        </w:rPr>
        <w:t xml:space="preserve">16. </w:t>
      </w:r>
      <w:r w:rsidR="003E66FB">
        <w:rPr>
          <w:lang w:val="en-US"/>
        </w:rPr>
        <w:tab/>
      </w:r>
      <w:r w:rsidRPr="00A672EA">
        <w:rPr>
          <w:lang w:val="en-US" w:eastAsia="en-US"/>
        </w:rPr>
        <w:t>Baek</w:t>
      </w:r>
      <w:r w:rsidR="00334FB5" w:rsidRPr="00A672EA">
        <w:rPr>
          <w:lang w:val="en-US" w:eastAsia="en-US"/>
        </w:rPr>
        <w:t xml:space="preserve"> SW</w:t>
      </w:r>
      <w:r w:rsidRPr="00A672EA">
        <w:rPr>
          <w:lang w:val="en-US" w:eastAsia="en-US"/>
        </w:rPr>
        <w:t>, Lee</w:t>
      </w:r>
      <w:r w:rsidR="00334FB5" w:rsidRPr="00A672EA">
        <w:rPr>
          <w:lang w:val="en-US" w:eastAsia="en-US"/>
        </w:rPr>
        <w:t xml:space="preserve"> MW</w:t>
      </w:r>
      <w:r w:rsidRPr="00A672EA">
        <w:rPr>
          <w:lang w:val="en-US" w:eastAsia="en-US"/>
        </w:rPr>
        <w:t>, Ryu</w:t>
      </w:r>
      <w:r w:rsidR="00334FB5" w:rsidRPr="00A672EA">
        <w:rPr>
          <w:lang w:val="en-US" w:eastAsia="en-US"/>
        </w:rPr>
        <w:t xml:space="preserve"> HW</w:t>
      </w:r>
      <w:r w:rsidRPr="00A672EA">
        <w:rPr>
          <w:lang w:val="en-US" w:eastAsia="en-US"/>
        </w:rPr>
        <w:t>, Lee</w:t>
      </w:r>
      <w:r w:rsidR="00334FB5" w:rsidRPr="00A672EA">
        <w:rPr>
          <w:lang w:val="en-US" w:eastAsia="en-US"/>
        </w:rPr>
        <w:t xml:space="preserve"> KS</w:t>
      </w:r>
      <w:r w:rsidRPr="00A672EA">
        <w:rPr>
          <w:lang w:val="en-US" w:eastAsia="en-US"/>
        </w:rPr>
        <w:t>, Song</w:t>
      </w:r>
      <w:r w:rsidR="00334FB5" w:rsidRPr="00A672EA">
        <w:rPr>
          <w:lang w:val="en-US" w:eastAsia="en-US"/>
        </w:rPr>
        <w:t xml:space="preserve"> IC, </w:t>
      </w:r>
      <w:r w:rsidRPr="00A672EA">
        <w:rPr>
          <w:lang w:val="en-US" w:eastAsia="en-US"/>
        </w:rPr>
        <w:t>Lee</w:t>
      </w:r>
      <w:r w:rsidR="00334FB5" w:rsidRPr="00A672EA">
        <w:rPr>
          <w:lang w:val="en-US" w:eastAsia="en-US"/>
        </w:rPr>
        <w:t xml:space="preserve"> HJ</w:t>
      </w:r>
      <w:r w:rsidRPr="00A672EA">
        <w:rPr>
          <w:lang w:val="en-US" w:eastAsia="en-US"/>
        </w:rPr>
        <w:t>,</w:t>
      </w:r>
      <w:r w:rsidR="00334FB5" w:rsidRPr="00A672EA">
        <w:rPr>
          <w:lang w:val="en-US" w:eastAsia="en-US"/>
        </w:rPr>
        <w:t xml:space="preserve"> </w:t>
      </w:r>
      <w:r w:rsidRPr="00A672EA">
        <w:rPr>
          <w:lang w:val="en-US" w:eastAsia="en-US"/>
        </w:rPr>
        <w:t>Yun</w:t>
      </w:r>
      <w:r w:rsidR="00334FB5" w:rsidRPr="00A672EA">
        <w:rPr>
          <w:lang w:val="en-US" w:eastAsia="en-US"/>
        </w:rPr>
        <w:t xml:space="preserve"> HJ</w:t>
      </w:r>
      <w:r w:rsidRPr="00A672EA">
        <w:rPr>
          <w:lang w:val="en-US" w:eastAsia="en-US"/>
        </w:rPr>
        <w:t xml:space="preserve">, </w:t>
      </w:r>
      <w:r w:rsidR="00334FB5" w:rsidRPr="00A672EA">
        <w:rPr>
          <w:lang w:val="en-US" w:eastAsia="en-US"/>
        </w:rPr>
        <w:t xml:space="preserve">Kim S, </w:t>
      </w:r>
      <w:r w:rsidRPr="00A672EA">
        <w:rPr>
          <w:lang w:val="en-US" w:eastAsia="en-US"/>
        </w:rPr>
        <w:t>Jo</w:t>
      </w:r>
      <w:r w:rsidR="00334FB5" w:rsidRPr="00A672EA">
        <w:rPr>
          <w:lang w:val="en-US" w:eastAsia="en-US"/>
        </w:rPr>
        <w:t xml:space="preserve"> DY. Clinical features and outcomes of autoinmune hemolytic anemia: a retrospective analysis of 32 cases. Korean </w:t>
      </w:r>
      <w:r w:rsidR="00236149" w:rsidRPr="00A672EA">
        <w:rPr>
          <w:lang w:val="en-US" w:eastAsia="en-US"/>
        </w:rPr>
        <w:t>J Hematol</w:t>
      </w:r>
      <w:r w:rsidR="00334FB5" w:rsidRPr="00A672EA">
        <w:rPr>
          <w:lang w:val="en-US" w:eastAsia="en-US"/>
        </w:rPr>
        <w:t>. 2011 Jun;46(2):111-7</w:t>
      </w:r>
      <w:r w:rsidR="0009662A" w:rsidRPr="00A672EA">
        <w:rPr>
          <w:lang w:val="en-US" w:eastAsia="en-US"/>
        </w:rPr>
        <w:t>.</w:t>
      </w:r>
    </w:p>
    <w:p w14:paraId="4BAB9427" w14:textId="7149FDEB" w:rsidR="0009662A" w:rsidRPr="00A672EA" w:rsidRDefault="0009662A" w:rsidP="0009662A">
      <w:pPr>
        <w:spacing w:line="360" w:lineRule="auto"/>
        <w:rPr>
          <w:rFonts w:eastAsia="Times New Roman"/>
          <w:lang w:val="en-US"/>
        </w:rPr>
      </w:pPr>
      <w:r w:rsidRPr="00A672EA">
        <w:rPr>
          <w:lang w:val="en-US" w:eastAsia="en-US"/>
        </w:rPr>
        <w:t xml:space="preserve">17. </w:t>
      </w:r>
      <w:r w:rsidRPr="00A672EA">
        <w:rPr>
          <w:lang w:val="en-US" w:eastAsia="en-US"/>
        </w:rPr>
        <w:tab/>
      </w:r>
      <w:r w:rsidRPr="00A672EA">
        <w:rPr>
          <w:rFonts w:eastAsia="Times New Roman"/>
          <w:color w:val="000000"/>
          <w:shd w:val="clear" w:color="auto" w:fill="FFFFFF"/>
          <w:lang w:val="en-US"/>
        </w:rPr>
        <w:t>Sudulagunta SR, Kumbhat</w:t>
      </w:r>
      <w:r w:rsidRPr="00A672EA">
        <w:rPr>
          <w:rFonts w:eastAsia="Times New Roman"/>
          <w:color w:val="000000"/>
          <w:shd w:val="clear" w:color="auto" w:fill="FFFFFF"/>
          <w:vertAlign w:val="superscript"/>
          <w:lang w:val="en-US"/>
        </w:rPr>
        <w:t xml:space="preserve"> </w:t>
      </w:r>
      <w:r w:rsidRPr="00A672EA">
        <w:rPr>
          <w:rFonts w:eastAsia="Times New Roman"/>
          <w:color w:val="000000"/>
          <w:shd w:val="clear" w:color="auto" w:fill="FFFFFF"/>
          <w:lang w:val="en-US"/>
        </w:rPr>
        <w:t>M, Sodalagunta</w:t>
      </w:r>
      <w:r w:rsidRPr="00A672EA">
        <w:rPr>
          <w:rFonts w:eastAsia="Times New Roman"/>
          <w:color w:val="000000"/>
          <w:shd w:val="clear" w:color="auto" w:fill="FFFFFF"/>
          <w:vertAlign w:val="superscript"/>
          <w:lang w:val="en-US"/>
        </w:rPr>
        <w:t xml:space="preserve"> </w:t>
      </w:r>
      <w:r w:rsidRPr="00A672EA">
        <w:rPr>
          <w:rFonts w:eastAsia="Times New Roman"/>
          <w:color w:val="000000"/>
          <w:shd w:val="clear" w:color="auto" w:fill="FFFFFF"/>
          <w:lang w:val="en-US"/>
        </w:rPr>
        <w:t>MB, Nataraju</w:t>
      </w:r>
      <w:r w:rsidRPr="00A672EA">
        <w:rPr>
          <w:rFonts w:eastAsia="Times New Roman"/>
          <w:color w:val="000000"/>
          <w:shd w:val="clear" w:color="auto" w:fill="FFFFFF"/>
          <w:vertAlign w:val="superscript"/>
          <w:lang w:val="en-US"/>
        </w:rPr>
        <w:t xml:space="preserve"> </w:t>
      </w:r>
      <w:r w:rsidRPr="00A672EA">
        <w:rPr>
          <w:rFonts w:eastAsia="Times New Roman"/>
          <w:color w:val="000000"/>
          <w:shd w:val="clear" w:color="auto" w:fill="FFFFFF"/>
          <w:lang w:val="en-US"/>
        </w:rPr>
        <w:t>AS, Bangalore Raja</w:t>
      </w:r>
      <w:r w:rsidRPr="00A672EA">
        <w:rPr>
          <w:rFonts w:eastAsia="Times New Roman"/>
          <w:color w:val="000000"/>
          <w:shd w:val="clear" w:color="auto" w:fill="FFFFFF"/>
          <w:vertAlign w:val="superscript"/>
          <w:lang w:val="en-US"/>
        </w:rPr>
        <w:t xml:space="preserve"> </w:t>
      </w:r>
      <w:r w:rsidRPr="00A672EA">
        <w:rPr>
          <w:rFonts w:eastAsia="Times New Roman"/>
          <w:color w:val="000000"/>
          <w:shd w:val="clear" w:color="auto" w:fill="FFFFFF"/>
          <w:lang w:val="en-US"/>
        </w:rPr>
        <w:t>SK, Thejaswi</w:t>
      </w:r>
      <w:r w:rsidRPr="00A672EA">
        <w:rPr>
          <w:rFonts w:eastAsia="Times New Roman"/>
          <w:color w:val="000000"/>
          <w:shd w:val="clear" w:color="auto" w:fill="FFFFFF"/>
          <w:vertAlign w:val="superscript"/>
          <w:lang w:val="en-US"/>
        </w:rPr>
        <w:t xml:space="preserve"> </w:t>
      </w:r>
      <w:r w:rsidRPr="00A672EA">
        <w:rPr>
          <w:rFonts w:eastAsia="Times New Roman"/>
          <w:color w:val="000000"/>
          <w:shd w:val="clear" w:color="auto" w:fill="FFFFFF"/>
          <w:lang w:val="en-US"/>
        </w:rPr>
        <w:t>KC, Deepak</w:t>
      </w:r>
      <w:r w:rsidRPr="00A672EA">
        <w:rPr>
          <w:rFonts w:eastAsia="Times New Roman"/>
          <w:color w:val="000000"/>
          <w:shd w:val="clear" w:color="auto" w:fill="FFFFFF"/>
          <w:vertAlign w:val="superscript"/>
          <w:lang w:val="en-US"/>
        </w:rPr>
        <w:t xml:space="preserve"> </w:t>
      </w:r>
      <w:r w:rsidRPr="00A672EA">
        <w:rPr>
          <w:rFonts w:eastAsia="Times New Roman"/>
          <w:color w:val="000000"/>
          <w:shd w:val="clear" w:color="auto" w:fill="FFFFFF"/>
          <w:lang w:val="en-US"/>
        </w:rPr>
        <w:t>R, Mohammed</w:t>
      </w:r>
      <w:r w:rsidRPr="00A672EA">
        <w:rPr>
          <w:rFonts w:eastAsia="Times New Roman"/>
          <w:color w:val="000000"/>
          <w:shd w:val="clear" w:color="auto" w:fill="FFFFFF"/>
          <w:vertAlign w:val="superscript"/>
          <w:lang w:val="en-US"/>
        </w:rPr>
        <w:t xml:space="preserve"> </w:t>
      </w:r>
      <w:r w:rsidRPr="00A672EA">
        <w:rPr>
          <w:rFonts w:eastAsia="Times New Roman"/>
          <w:color w:val="000000"/>
          <w:shd w:val="clear" w:color="auto" w:fill="FFFFFF"/>
          <w:lang w:val="en-US"/>
        </w:rPr>
        <w:t>AH, Sunny</w:t>
      </w:r>
      <w:r w:rsidRPr="00A672EA">
        <w:rPr>
          <w:rFonts w:eastAsia="Times New Roman"/>
          <w:color w:val="000000"/>
          <w:shd w:val="clear" w:color="auto" w:fill="FFFFFF"/>
          <w:vertAlign w:val="superscript"/>
          <w:lang w:val="en-US"/>
        </w:rPr>
        <w:t xml:space="preserve"> </w:t>
      </w:r>
      <w:r w:rsidRPr="00A672EA">
        <w:rPr>
          <w:rFonts w:eastAsia="Times New Roman"/>
          <w:color w:val="000000"/>
          <w:shd w:val="clear" w:color="auto" w:fill="FFFFFF"/>
          <w:lang w:val="en-US"/>
        </w:rPr>
        <w:t>SP, Visweswar</w:t>
      </w:r>
      <w:r w:rsidRPr="00A672EA">
        <w:rPr>
          <w:rFonts w:eastAsia="Times New Roman"/>
          <w:color w:val="000000"/>
          <w:shd w:val="clear" w:color="auto" w:fill="FFFFFF"/>
          <w:vertAlign w:val="superscript"/>
          <w:lang w:val="en-US"/>
        </w:rPr>
        <w:t xml:space="preserve"> </w:t>
      </w:r>
      <w:r w:rsidRPr="00A672EA">
        <w:rPr>
          <w:rFonts w:eastAsia="Times New Roman"/>
          <w:color w:val="000000"/>
          <w:shd w:val="clear" w:color="auto" w:fill="FFFFFF"/>
          <w:lang w:val="en-US"/>
        </w:rPr>
        <w:t>A, Suvarna</w:t>
      </w:r>
      <w:r w:rsidRPr="00A672EA">
        <w:rPr>
          <w:rFonts w:eastAsia="Times New Roman"/>
          <w:color w:val="000000"/>
          <w:shd w:val="clear" w:color="auto" w:fill="FFFFFF"/>
          <w:vertAlign w:val="superscript"/>
          <w:lang w:val="en-US"/>
        </w:rPr>
        <w:t xml:space="preserve"> </w:t>
      </w:r>
      <w:r w:rsidRPr="00A672EA">
        <w:rPr>
          <w:rFonts w:eastAsia="Times New Roman"/>
          <w:color w:val="000000"/>
          <w:shd w:val="clear" w:color="auto" w:fill="FFFFFF"/>
          <w:lang w:val="en-US"/>
        </w:rPr>
        <w:t xml:space="preserve">M, Nanjappa R. </w:t>
      </w:r>
      <w:r w:rsidRPr="00A672EA">
        <w:rPr>
          <w:rFonts w:eastAsia="Times New Roman"/>
          <w:bCs/>
          <w:color w:val="000000"/>
          <w:shd w:val="clear" w:color="auto" w:fill="FFFFFF"/>
          <w:lang w:val="en-US"/>
        </w:rPr>
        <w:t xml:space="preserve">Warm Autoimmune Hemolytic Anemia: Clinical Profile and Management. </w:t>
      </w:r>
      <w:r w:rsidR="00236149" w:rsidRPr="00A672EA">
        <w:rPr>
          <w:rFonts w:eastAsia="Times New Roman"/>
          <w:bCs/>
          <w:color w:val="000000"/>
          <w:shd w:val="clear" w:color="auto" w:fill="FFFFFF"/>
          <w:lang w:val="en-US"/>
        </w:rPr>
        <w:t>J</w:t>
      </w:r>
      <w:r w:rsidRPr="00A672EA">
        <w:rPr>
          <w:rFonts w:eastAsia="Times New Roman"/>
          <w:bCs/>
          <w:color w:val="000000"/>
          <w:shd w:val="clear" w:color="auto" w:fill="FFFFFF"/>
          <w:lang w:val="en-US"/>
        </w:rPr>
        <w:t xml:space="preserve"> </w:t>
      </w:r>
      <w:r w:rsidR="00236149" w:rsidRPr="00A672EA">
        <w:rPr>
          <w:rFonts w:eastAsia="Times New Roman"/>
          <w:bCs/>
          <w:color w:val="000000"/>
          <w:shd w:val="clear" w:color="auto" w:fill="FFFFFF"/>
          <w:lang w:val="en-US"/>
        </w:rPr>
        <w:t>Hematol</w:t>
      </w:r>
      <w:r w:rsidRPr="00A672EA">
        <w:rPr>
          <w:rFonts w:eastAsia="Times New Roman"/>
          <w:bCs/>
          <w:color w:val="000000"/>
          <w:shd w:val="clear" w:color="auto" w:fill="FFFFFF"/>
          <w:lang w:val="en-US"/>
        </w:rPr>
        <w:t xml:space="preserve"> </w:t>
      </w:r>
      <w:r w:rsidR="00236149" w:rsidRPr="00A672EA">
        <w:rPr>
          <w:rFonts w:eastAsia="Times New Roman"/>
          <w:bCs/>
          <w:color w:val="000000"/>
          <w:shd w:val="clear" w:color="auto" w:fill="FFFFFF"/>
          <w:lang w:val="en-US"/>
        </w:rPr>
        <w:t>2017; 6(1):12-20.</w:t>
      </w:r>
    </w:p>
    <w:p w14:paraId="3E8F9D1A" w14:textId="2DD3D75E" w:rsidR="0009662A" w:rsidRPr="00A672EA" w:rsidRDefault="0009662A" w:rsidP="0009662A">
      <w:pPr>
        <w:spacing w:line="360" w:lineRule="auto"/>
        <w:rPr>
          <w:rFonts w:eastAsia="Times New Roman"/>
          <w:lang w:val="en-US"/>
        </w:rPr>
      </w:pPr>
    </w:p>
    <w:p w14:paraId="17C27156" w14:textId="45CC64A0" w:rsidR="0009662A" w:rsidRPr="0009662A" w:rsidRDefault="0009662A" w:rsidP="00600544">
      <w:pPr>
        <w:widowControl w:val="0"/>
        <w:autoSpaceDE w:val="0"/>
        <w:autoSpaceDN w:val="0"/>
        <w:adjustRightInd w:val="0"/>
        <w:spacing w:line="360" w:lineRule="auto"/>
        <w:rPr>
          <w:lang w:val="en-US"/>
        </w:rPr>
      </w:pPr>
    </w:p>
    <w:sectPr w:rsidR="0009662A" w:rsidRPr="0009662A" w:rsidSect="001E5387">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05D589" w14:textId="77777777" w:rsidR="001E17AA" w:rsidRDefault="001E17AA" w:rsidP="002075F6">
      <w:r>
        <w:separator/>
      </w:r>
    </w:p>
  </w:endnote>
  <w:endnote w:type="continuationSeparator" w:id="0">
    <w:p w14:paraId="1F4BC32A" w14:textId="77777777" w:rsidR="001E17AA" w:rsidRDefault="001E17AA" w:rsidP="00207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D9F44A" w14:textId="77777777" w:rsidR="001E17AA" w:rsidRDefault="001E17AA" w:rsidP="002075F6">
      <w:r>
        <w:separator/>
      </w:r>
    </w:p>
  </w:footnote>
  <w:footnote w:type="continuationSeparator" w:id="0">
    <w:p w14:paraId="3E540642" w14:textId="77777777" w:rsidR="001E17AA" w:rsidRDefault="001E17AA" w:rsidP="002075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893150"/>
      <w:docPartObj>
        <w:docPartGallery w:val="Page Numbers (Top of Page)"/>
        <w:docPartUnique/>
      </w:docPartObj>
    </w:sdtPr>
    <w:sdtEndPr/>
    <w:sdtContent>
      <w:p w14:paraId="2E505C2F" w14:textId="77777777" w:rsidR="00AE1267" w:rsidRDefault="00AE1267">
        <w:pPr>
          <w:pStyle w:val="Encabezado"/>
          <w:jc w:val="right"/>
        </w:pPr>
        <w:r>
          <w:fldChar w:fldCharType="begin"/>
        </w:r>
        <w:r w:rsidR="00DF42A6">
          <w:instrText>PAGE</w:instrText>
        </w:r>
        <w:r>
          <w:instrText xml:space="preserve">   \* MERGEFORMAT</w:instrText>
        </w:r>
        <w:r>
          <w:fldChar w:fldCharType="separate"/>
        </w:r>
        <w:r w:rsidR="0002418D" w:rsidRPr="0002418D">
          <w:rPr>
            <w:noProof/>
            <w:lang w:val="es-ES"/>
          </w:rPr>
          <w:t>1</w:t>
        </w:r>
        <w:r>
          <w:rPr>
            <w:noProof/>
            <w:lang w:val="es-ES"/>
          </w:rPr>
          <w:fldChar w:fldCharType="end"/>
        </w:r>
      </w:p>
    </w:sdtContent>
  </w:sdt>
  <w:p w14:paraId="5BED3317" w14:textId="77777777" w:rsidR="00AE1267" w:rsidRDefault="00AE126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7FC"/>
    <w:rsid w:val="00001D4E"/>
    <w:rsid w:val="00004DC1"/>
    <w:rsid w:val="00005A3F"/>
    <w:rsid w:val="000068F4"/>
    <w:rsid w:val="0000712F"/>
    <w:rsid w:val="00007905"/>
    <w:rsid w:val="00012755"/>
    <w:rsid w:val="00020AC6"/>
    <w:rsid w:val="0002325D"/>
    <w:rsid w:val="00023C9D"/>
    <w:rsid w:val="0002418D"/>
    <w:rsid w:val="00024840"/>
    <w:rsid w:val="000262DF"/>
    <w:rsid w:val="00031E9C"/>
    <w:rsid w:val="00042B31"/>
    <w:rsid w:val="0004624F"/>
    <w:rsid w:val="00046A5B"/>
    <w:rsid w:val="00050E42"/>
    <w:rsid w:val="00057581"/>
    <w:rsid w:val="0006128D"/>
    <w:rsid w:val="00061B9E"/>
    <w:rsid w:val="00067D6E"/>
    <w:rsid w:val="00082304"/>
    <w:rsid w:val="00082AD2"/>
    <w:rsid w:val="00087DF5"/>
    <w:rsid w:val="000937D3"/>
    <w:rsid w:val="0009662A"/>
    <w:rsid w:val="00097FB9"/>
    <w:rsid w:val="000A2DD5"/>
    <w:rsid w:val="000B1818"/>
    <w:rsid w:val="000B2F59"/>
    <w:rsid w:val="000C0B9E"/>
    <w:rsid w:val="000C1822"/>
    <w:rsid w:val="000D235A"/>
    <w:rsid w:val="000D3AB6"/>
    <w:rsid w:val="000F2603"/>
    <w:rsid w:val="0010353F"/>
    <w:rsid w:val="00106346"/>
    <w:rsid w:val="001064CE"/>
    <w:rsid w:val="00110077"/>
    <w:rsid w:val="00110F4D"/>
    <w:rsid w:val="00111FB3"/>
    <w:rsid w:val="00116D10"/>
    <w:rsid w:val="001210AD"/>
    <w:rsid w:val="00122322"/>
    <w:rsid w:val="001226D0"/>
    <w:rsid w:val="00123249"/>
    <w:rsid w:val="0012542C"/>
    <w:rsid w:val="00130E27"/>
    <w:rsid w:val="0013448D"/>
    <w:rsid w:val="00135802"/>
    <w:rsid w:val="00140135"/>
    <w:rsid w:val="00144CED"/>
    <w:rsid w:val="001578B1"/>
    <w:rsid w:val="00157ADC"/>
    <w:rsid w:val="00164625"/>
    <w:rsid w:val="00166BA5"/>
    <w:rsid w:val="00173253"/>
    <w:rsid w:val="00176337"/>
    <w:rsid w:val="00180514"/>
    <w:rsid w:val="00183C40"/>
    <w:rsid w:val="00184083"/>
    <w:rsid w:val="00186F2A"/>
    <w:rsid w:val="001974CB"/>
    <w:rsid w:val="001A4188"/>
    <w:rsid w:val="001B26A7"/>
    <w:rsid w:val="001B4E9A"/>
    <w:rsid w:val="001B6861"/>
    <w:rsid w:val="001C1E5E"/>
    <w:rsid w:val="001C302D"/>
    <w:rsid w:val="001C30D4"/>
    <w:rsid w:val="001D59FF"/>
    <w:rsid w:val="001E0DD9"/>
    <w:rsid w:val="001E17AA"/>
    <w:rsid w:val="001E4EA4"/>
    <w:rsid w:val="001E5387"/>
    <w:rsid w:val="001E7791"/>
    <w:rsid w:val="001F36EE"/>
    <w:rsid w:val="001F5432"/>
    <w:rsid w:val="001F640D"/>
    <w:rsid w:val="001F7CE3"/>
    <w:rsid w:val="002005F8"/>
    <w:rsid w:val="00202A41"/>
    <w:rsid w:val="002058DD"/>
    <w:rsid w:val="002064DF"/>
    <w:rsid w:val="002075F6"/>
    <w:rsid w:val="00220EAF"/>
    <w:rsid w:val="00221585"/>
    <w:rsid w:val="002250A7"/>
    <w:rsid w:val="00227BD6"/>
    <w:rsid w:val="00227F7B"/>
    <w:rsid w:val="0023501B"/>
    <w:rsid w:val="00236149"/>
    <w:rsid w:val="0023685C"/>
    <w:rsid w:val="002457BE"/>
    <w:rsid w:val="002467D8"/>
    <w:rsid w:val="00247F59"/>
    <w:rsid w:val="002526E4"/>
    <w:rsid w:val="00253AFD"/>
    <w:rsid w:val="0026151B"/>
    <w:rsid w:val="00262CD9"/>
    <w:rsid w:val="00263858"/>
    <w:rsid w:val="00264496"/>
    <w:rsid w:val="00265184"/>
    <w:rsid w:val="002750FE"/>
    <w:rsid w:val="00275F01"/>
    <w:rsid w:val="00281173"/>
    <w:rsid w:val="002825C9"/>
    <w:rsid w:val="00282929"/>
    <w:rsid w:val="00285528"/>
    <w:rsid w:val="00285CF2"/>
    <w:rsid w:val="00286F86"/>
    <w:rsid w:val="00291760"/>
    <w:rsid w:val="00294A80"/>
    <w:rsid w:val="00296003"/>
    <w:rsid w:val="00296C2B"/>
    <w:rsid w:val="002A16D5"/>
    <w:rsid w:val="002A2FB2"/>
    <w:rsid w:val="002B6B44"/>
    <w:rsid w:val="002C3FF6"/>
    <w:rsid w:val="002C4F18"/>
    <w:rsid w:val="002C700E"/>
    <w:rsid w:val="002C7C6D"/>
    <w:rsid w:val="002D187E"/>
    <w:rsid w:val="002D1E2D"/>
    <w:rsid w:val="002D23BA"/>
    <w:rsid w:val="002E0D4F"/>
    <w:rsid w:val="002E37F5"/>
    <w:rsid w:val="002E409B"/>
    <w:rsid w:val="002E4404"/>
    <w:rsid w:val="002E5278"/>
    <w:rsid w:val="002E7456"/>
    <w:rsid w:val="002F0283"/>
    <w:rsid w:val="002F34F6"/>
    <w:rsid w:val="002F4935"/>
    <w:rsid w:val="002F4CE3"/>
    <w:rsid w:val="002F5B3B"/>
    <w:rsid w:val="002F77D1"/>
    <w:rsid w:val="003150AD"/>
    <w:rsid w:val="003160B1"/>
    <w:rsid w:val="00316A23"/>
    <w:rsid w:val="00324671"/>
    <w:rsid w:val="00334FB5"/>
    <w:rsid w:val="00336FCC"/>
    <w:rsid w:val="00347B52"/>
    <w:rsid w:val="003509B3"/>
    <w:rsid w:val="003540B6"/>
    <w:rsid w:val="00366AF5"/>
    <w:rsid w:val="00367D3D"/>
    <w:rsid w:val="00370FFA"/>
    <w:rsid w:val="003844BA"/>
    <w:rsid w:val="0038652A"/>
    <w:rsid w:val="00386B25"/>
    <w:rsid w:val="00387F84"/>
    <w:rsid w:val="00390B74"/>
    <w:rsid w:val="00391F94"/>
    <w:rsid w:val="00393A34"/>
    <w:rsid w:val="0039666E"/>
    <w:rsid w:val="003A42D6"/>
    <w:rsid w:val="003A59F5"/>
    <w:rsid w:val="003A73C3"/>
    <w:rsid w:val="003B16DD"/>
    <w:rsid w:val="003B645C"/>
    <w:rsid w:val="003C0207"/>
    <w:rsid w:val="003C2AA4"/>
    <w:rsid w:val="003C304B"/>
    <w:rsid w:val="003C6F33"/>
    <w:rsid w:val="003D2C4B"/>
    <w:rsid w:val="003D33FE"/>
    <w:rsid w:val="003D4CBE"/>
    <w:rsid w:val="003E044D"/>
    <w:rsid w:val="003E6416"/>
    <w:rsid w:val="003E66FB"/>
    <w:rsid w:val="003E7043"/>
    <w:rsid w:val="003F1121"/>
    <w:rsid w:val="003F7C5C"/>
    <w:rsid w:val="00405CA2"/>
    <w:rsid w:val="00410533"/>
    <w:rsid w:val="00412FD6"/>
    <w:rsid w:val="00413E06"/>
    <w:rsid w:val="0041712A"/>
    <w:rsid w:val="004226F8"/>
    <w:rsid w:val="0043041E"/>
    <w:rsid w:val="004305FF"/>
    <w:rsid w:val="0043604E"/>
    <w:rsid w:val="00440E39"/>
    <w:rsid w:val="00450D75"/>
    <w:rsid w:val="00460521"/>
    <w:rsid w:val="00462EDB"/>
    <w:rsid w:val="00466EEF"/>
    <w:rsid w:val="00467F7D"/>
    <w:rsid w:val="004744D8"/>
    <w:rsid w:val="00476915"/>
    <w:rsid w:val="00484AD6"/>
    <w:rsid w:val="00484C1C"/>
    <w:rsid w:val="00486C15"/>
    <w:rsid w:val="004931E5"/>
    <w:rsid w:val="00496A36"/>
    <w:rsid w:val="004970B1"/>
    <w:rsid w:val="004A712E"/>
    <w:rsid w:val="004A729E"/>
    <w:rsid w:val="004A78CF"/>
    <w:rsid w:val="004B083C"/>
    <w:rsid w:val="004B162A"/>
    <w:rsid w:val="004B2DEA"/>
    <w:rsid w:val="004B331D"/>
    <w:rsid w:val="004B7A37"/>
    <w:rsid w:val="004C2897"/>
    <w:rsid w:val="004D3B72"/>
    <w:rsid w:val="004D6867"/>
    <w:rsid w:val="004E4B9D"/>
    <w:rsid w:val="004F5CC4"/>
    <w:rsid w:val="004F5D6A"/>
    <w:rsid w:val="00505EDE"/>
    <w:rsid w:val="005072FF"/>
    <w:rsid w:val="005076C0"/>
    <w:rsid w:val="00515073"/>
    <w:rsid w:val="00517EFD"/>
    <w:rsid w:val="00521EB0"/>
    <w:rsid w:val="00523156"/>
    <w:rsid w:val="0052491B"/>
    <w:rsid w:val="005250FA"/>
    <w:rsid w:val="00531DF5"/>
    <w:rsid w:val="00535533"/>
    <w:rsid w:val="00535BFF"/>
    <w:rsid w:val="0055142D"/>
    <w:rsid w:val="0055289C"/>
    <w:rsid w:val="00556FBB"/>
    <w:rsid w:val="00557C02"/>
    <w:rsid w:val="00561556"/>
    <w:rsid w:val="00563654"/>
    <w:rsid w:val="00566410"/>
    <w:rsid w:val="005668EC"/>
    <w:rsid w:val="00570CF1"/>
    <w:rsid w:val="00577085"/>
    <w:rsid w:val="0058035A"/>
    <w:rsid w:val="00584C67"/>
    <w:rsid w:val="00586452"/>
    <w:rsid w:val="00593348"/>
    <w:rsid w:val="005A1DF4"/>
    <w:rsid w:val="005A2D28"/>
    <w:rsid w:val="005A3B3B"/>
    <w:rsid w:val="005A57FC"/>
    <w:rsid w:val="005B2B23"/>
    <w:rsid w:val="005C28B5"/>
    <w:rsid w:val="005C2EFA"/>
    <w:rsid w:val="005C3103"/>
    <w:rsid w:val="005C353C"/>
    <w:rsid w:val="005C5E85"/>
    <w:rsid w:val="005C7E90"/>
    <w:rsid w:val="005D547C"/>
    <w:rsid w:val="005D608F"/>
    <w:rsid w:val="005E4DEB"/>
    <w:rsid w:val="005E600F"/>
    <w:rsid w:val="005F00CA"/>
    <w:rsid w:val="005F1594"/>
    <w:rsid w:val="005F2FE2"/>
    <w:rsid w:val="005F4B5B"/>
    <w:rsid w:val="005F4E52"/>
    <w:rsid w:val="005F5562"/>
    <w:rsid w:val="005F72B6"/>
    <w:rsid w:val="00600544"/>
    <w:rsid w:val="006064DF"/>
    <w:rsid w:val="0060767A"/>
    <w:rsid w:val="00612315"/>
    <w:rsid w:val="00616403"/>
    <w:rsid w:val="00622FB6"/>
    <w:rsid w:val="00623F4F"/>
    <w:rsid w:val="00624305"/>
    <w:rsid w:val="00633243"/>
    <w:rsid w:val="00633DC6"/>
    <w:rsid w:val="00634D63"/>
    <w:rsid w:val="00636E0A"/>
    <w:rsid w:val="00640A2B"/>
    <w:rsid w:val="006437E9"/>
    <w:rsid w:val="00651BC8"/>
    <w:rsid w:val="0065213A"/>
    <w:rsid w:val="00654FE6"/>
    <w:rsid w:val="00656188"/>
    <w:rsid w:val="00656542"/>
    <w:rsid w:val="00665618"/>
    <w:rsid w:val="0066645C"/>
    <w:rsid w:val="00673059"/>
    <w:rsid w:val="0068345B"/>
    <w:rsid w:val="00692FA0"/>
    <w:rsid w:val="006A2343"/>
    <w:rsid w:val="006B52DB"/>
    <w:rsid w:val="006B7A0A"/>
    <w:rsid w:val="006C4393"/>
    <w:rsid w:val="006C6CC4"/>
    <w:rsid w:val="006D3CA7"/>
    <w:rsid w:val="006D3D09"/>
    <w:rsid w:val="006D758B"/>
    <w:rsid w:val="006E0830"/>
    <w:rsid w:val="006E09DE"/>
    <w:rsid w:val="006E101B"/>
    <w:rsid w:val="006F0998"/>
    <w:rsid w:val="006F09CA"/>
    <w:rsid w:val="006F289A"/>
    <w:rsid w:val="006F41F8"/>
    <w:rsid w:val="006F5FAD"/>
    <w:rsid w:val="007022ED"/>
    <w:rsid w:val="00703CD4"/>
    <w:rsid w:val="0070468D"/>
    <w:rsid w:val="00706560"/>
    <w:rsid w:val="00710238"/>
    <w:rsid w:val="00711D00"/>
    <w:rsid w:val="00712231"/>
    <w:rsid w:val="00721659"/>
    <w:rsid w:val="00724931"/>
    <w:rsid w:val="00730F5F"/>
    <w:rsid w:val="007319C5"/>
    <w:rsid w:val="00733F12"/>
    <w:rsid w:val="00734EAC"/>
    <w:rsid w:val="00736863"/>
    <w:rsid w:val="007376E8"/>
    <w:rsid w:val="00742125"/>
    <w:rsid w:val="007436D0"/>
    <w:rsid w:val="007461A9"/>
    <w:rsid w:val="00746B30"/>
    <w:rsid w:val="00746DD3"/>
    <w:rsid w:val="00752E06"/>
    <w:rsid w:val="00754E4A"/>
    <w:rsid w:val="00755C69"/>
    <w:rsid w:val="00755FC8"/>
    <w:rsid w:val="007659D9"/>
    <w:rsid w:val="00771286"/>
    <w:rsid w:val="00790264"/>
    <w:rsid w:val="00794BCD"/>
    <w:rsid w:val="00797675"/>
    <w:rsid w:val="00797D28"/>
    <w:rsid w:val="007B063C"/>
    <w:rsid w:val="007B719C"/>
    <w:rsid w:val="007C02BF"/>
    <w:rsid w:val="007C48DF"/>
    <w:rsid w:val="007C56F0"/>
    <w:rsid w:val="007C7A1A"/>
    <w:rsid w:val="007D1DE5"/>
    <w:rsid w:val="007D2D3E"/>
    <w:rsid w:val="007D3689"/>
    <w:rsid w:val="007D3778"/>
    <w:rsid w:val="007D3894"/>
    <w:rsid w:val="007D4A6E"/>
    <w:rsid w:val="007D7D5D"/>
    <w:rsid w:val="007D7E8F"/>
    <w:rsid w:val="007E4795"/>
    <w:rsid w:val="007E558C"/>
    <w:rsid w:val="007F097C"/>
    <w:rsid w:val="007F76D5"/>
    <w:rsid w:val="007F7F45"/>
    <w:rsid w:val="008069DF"/>
    <w:rsid w:val="00807DE6"/>
    <w:rsid w:val="00807EA5"/>
    <w:rsid w:val="00814324"/>
    <w:rsid w:val="008213DF"/>
    <w:rsid w:val="00826D75"/>
    <w:rsid w:val="00830948"/>
    <w:rsid w:val="00831D56"/>
    <w:rsid w:val="00831EFE"/>
    <w:rsid w:val="00835FAF"/>
    <w:rsid w:val="0083625E"/>
    <w:rsid w:val="0083650C"/>
    <w:rsid w:val="00837E15"/>
    <w:rsid w:val="00842445"/>
    <w:rsid w:val="00843632"/>
    <w:rsid w:val="00844A45"/>
    <w:rsid w:val="00845CEA"/>
    <w:rsid w:val="00847EBF"/>
    <w:rsid w:val="00850C98"/>
    <w:rsid w:val="008573C9"/>
    <w:rsid w:val="00857613"/>
    <w:rsid w:val="0085779B"/>
    <w:rsid w:val="008622DA"/>
    <w:rsid w:val="00862651"/>
    <w:rsid w:val="008638C6"/>
    <w:rsid w:val="00863BB2"/>
    <w:rsid w:val="00864357"/>
    <w:rsid w:val="008703E6"/>
    <w:rsid w:val="008751C2"/>
    <w:rsid w:val="008756D5"/>
    <w:rsid w:val="008822DC"/>
    <w:rsid w:val="0088551D"/>
    <w:rsid w:val="00893E8D"/>
    <w:rsid w:val="00893FB7"/>
    <w:rsid w:val="008A39ED"/>
    <w:rsid w:val="008A3BCB"/>
    <w:rsid w:val="008B0BAC"/>
    <w:rsid w:val="008B6DDA"/>
    <w:rsid w:val="008C158A"/>
    <w:rsid w:val="008C3650"/>
    <w:rsid w:val="008C4FFF"/>
    <w:rsid w:val="008D1187"/>
    <w:rsid w:val="008D1820"/>
    <w:rsid w:val="008D2846"/>
    <w:rsid w:val="008D345D"/>
    <w:rsid w:val="008D3762"/>
    <w:rsid w:val="008E0B1E"/>
    <w:rsid w:val="008E2E47"/>
    <w:rsid w:val="008E5704"/>
    <w:rsid w:val="008F0668"/>
    <w:rsid w:val="008F2AAF"/>
    <w:rsid w:val="008F30CE"/>
    <w:rsid w:val="008F3AF1"/>
    <w:rsid w:val="008F4813"/>
    <w:rsid w:val="00902A2D"/>
    <w:rsid w:val="00904007"/>
    <w:rsid w:val="00904E53"/>
    <w:rsid w:val="00906236"/>
    <w:rsid w:val="00906298"/>
    <w:rsid w:val="00906EFA"/>
    <w:rsid w:val="00911057"/>
    <w:rsid w:val="00912489"/>
    <w:rsid w:val="009124EB"/>
    <w:rsid w:val="009141FB"/>
    <w:rsid w:val="00915DC9"/>
    <w:rsid w:val="00920BBA"/>
    <w:rsid w:val="00920D5A"/>
    <w:rsid w:val="0092152E"/>
    <w:rsid w:val="0092168D"/>
    <w:rsid w:val="00923B54"/>
    <w:rsid w:val="0093417F"/>
    <w:rsid w:val="009358BA"/>
    <w:rsid w:val="00936AB1"/>
    <w:rsid w:val="00947FB4"/>
    <w:rsid w:val="00951343"/>
    <w:rsid w:val="00951572"/>
    <w:rsid w:val="00953488"/>
    <w:rsid w:val="009540EC"/>
    <w:rsid w:val="00956F8D"/>
    <w:rsid w:val="00961B09"/>
    <w:rsid w:val="00967BDB"/>
    <w:rsid w:val="009721E9"/>
    <w:rsid w:val="00972DA9"/>
    <w:rsid w:val="00976636"/>
    <w:rsid w:val="009801E0"/>
    <w:rsid w:val="0098284C"/>
    <w:rsid w:val="00985B73"/>
    <w:rsid w:val="0098794A"/>
    <w:rsid w:val="00990EDE"/>
    <w:rsid w:val="009976CE"/>
    <w:rsid w:val="00997869"/>
    <w:rsid w:val="009B52A3"/>
    <w:rsid w:val="009B63A6"/>
    <w:rsid w:val="009C37B0"/>
    <w:rsid w:val="009C4528"/>
    <w:rsid w:val="009C6D64"/>
    <w:rsid w:val="009D028E"/>
    <w:rsid w:val="009D0BF5"/>
    <w:rsid w:val="009D2577"/>
    <w:rsid w:val="009D6281"/>
    <w:rsid w:val="009D66F3"/>
    <w:rsid w:val="009E3D79"/>
    <w:rsid w:val="009E4875"/>
    <w:rsid w:val="009E5948"/>
    <w:rsid w:val="009E748D"/>
    <w:rsid w:val="009E772B"/>
    <w:rsid w:val="009F1661"/>
    <w:rsid w:val="009F2DFF"/>
    <w:rsid w:val="009F45F0"/>
    <w:rsid w:val="009F58EB"/>
    <w:rsid w:val="00A028FA"/>
    <w:rsid w:val="00A04CA9"/>
    <w:rsid w:val="00A12837"/>
    <w:rsid w:val="00A14B6F"/>
    <w:rsid w:val="00A2374F"/>
    <w:rsid w:val="00A27559"/>
    <w:rsid w:val="00A27970"/>
    <w:rsid w:val="00A27B4A"/>
    <w:rsid w:val="00A318E4"/>
    <w:rsid w:val="00A31D6A"/>
    <w:rsid w:val="00A325B8"/>
    <w:rsid w:val="00A33EC1"/>
    <w:rsid w:val="00A36A39"/>
    <w:rsid w:val="00A373B7"/>
    <w:rsid w:val="00A373F4"/>
    <w:rsid w:val="00A41DF0"/>
    <w:rsid w:val="00A44DA0"/>
    <w:rsid w:val="00A454C0"/>
    <w:rsid w:val="00A50307"/>
    <w:rsid w:val="00A52CC9"/>
    <w:rsid w:val="00A55DDF"/>
    <w:rsid w:val="00A56BC9"/>
    <w:rsid w:val="00A672EA"/>
    <w:rsid w:val="00A7150E"/>
    <w:rsid w:val="00A777C2"/>
    <w:rsid w:val="00A8501C"/>
    <w:rsid w:val="00A9211B"/>
    <w:rsid w:val="00A9313F"/>
    <w:rsid w:val="00A9487F"/>
    <w:rsid w:val="00A965C6"/>
    <w:rsid w:val="00AA22A7"/>
    <w:rsid w:val="00AB1E41"/>
    <w:rsid w:val="00AB35B5"/>
    <w:rsid w:val="00AB48A5"/>
    <w:rsid w:val="00AC40BE"/>
    <w:rsid w:val="00AD5115"/>
    <w:rsid w:val="00AD779C"/>
    <w:rsid w:val="00AE1267"/>
    <w:rsid w:val="00AE5C8C"/>
    <w:rsid w:val="00AE62DA"/>
    <w:rsid w:val="00AF28DA"/>
    <w:rsid w:val="00AF6EDD"/>
    <w:rsid w:val="00AF7B0C"/>
    <w:rsid w:val="00AF7DE1"/>
    <w:rsid w:val="00B03AD8"/>
    <w:rsid w:val="00B10E93"/>
    <w:rsid w:val="00B12E1C"/>
    <w:rsid w:val="00B16FCA"/>
    <w:rsid w:val="00B259D3"/>
    <w:rsid w:val="00B26040"/>
    <w:rsid w:val="00B32D9E"/>
    <w:rsid w:val="00B3310F"/>
    <w:rsid w:val="00B332E5"/>
    <w:rsid w:val="00B40FEB"/>
    <w:rsid w:val="00B43FC3"/>
    <w:rsid w:val="00B457CC"/>
    <w:rsid w:val="00B45AAD"/>
    <w:rsid w:val="00B45E29"/>
    <w:rsid w:val="00B47C2C"/>
    <w:rsid w:val="00B53252"/>
    <w:rsid w:val="00B53CDE"/>
    <w:rsid w:val="00B54611"/>
    <w:rsid w:val="00B67E75"/>
    <w:rsid w:val="00B72923"/>
    <w:rsid w:val="00B77286"/>
    <w:rsid w:val="00B7779D"/>
    <w:rsid w:val="00B77B8C"/>
    <w:rsid w:val="00BA6E6C"/>
    <w:rsid w:val="00BB0734"/>
    <w:rsid w:val="00BB2963"/>
    <w:rsid w:val="00BB6F10"/>
    <w:rsid w:val="00BC3E5E"/>
    <w:rsid w:val="00BC54D8"/>
    <w:rsid w:val="00BC58D6"/>
    <w:rsid w:val="00BD0D67"/>
    <w:rsid w:val="00BD1D61"/>
    <w:rsid w:val="00BD331D"/>
    <w:rsid w:val="00BD4F7F"/>
    <w:rsid w:val="00BD5796"/>
    <w:rsid w:val="00BD62AC"/>
    <w:rsid w:val="00BD751E"/>
    <w:rsid w:val="00BD774D"/>
    <w:rsid w:val="00BE27E7"/>
    <w:rsid w:val="00BF2520"/>
    <w:rsid w:val="00BF5FEF"/>
    <w:rsid w:val="00BF7AAE"/>
    <w:rsid w:val="00C002D8"/>
    <w:rsid w:val="00C05399"/>
    <w:rsid w:val="00C059B6"/>
    <w:rsid w:val="00C0797D"/>
    <w:rsid w:val="00C15BC1"/>
    <w:rsid w:val="00C17AE4"/>
    <w:rsid w:val="00C17BFD"/>
    <w:rsid w:val="00C218A9"/>
    <w:rsid w:val="00C25829"/>
    <w:rsid w:val="00C26251"/>
    <w:rsid w:val="00C27797"/>
    <w:rsid w:val="00C3076B"/>
    <w:rsid w:val="00C335F4"/>
    <w:rsid w:val="00C3419E"/>
    <w:rsid w:val="00C42655"/>
    <w:rsid w:val="00C43BF7"/>
    <w:rsid w:val="00C47C33"/>
    <w:rsid w:val="00C47D68"/>
    <w:rsid w:val="00C47F83"/>
    <w:rsid w:val="00C54943"/>
    <w:rsid w:val="00C5518C"/>
    <w:rsid w:val="00C56060"/>
    <w:rsid w:val="00C60958"/>
    <w:rsid w:val="00C60A4F"/>
    <w:rsid w:val="00C60E6A"/>
    <w:rsid w:val="00C61234"/>
    <w:rsid w:val="00C61575"/>
    <w:rsid w:val="00C6208D"/>
    <w:rsid w:val="00C779F1"/>
    <w:rsid w:val="00C858F7"/>
    <w:rsid w:val="00C86FC4"/>
    <w:rsid w:val="00C908D8"/>
    <w:rsid w:val="00C90E63"/>
    <w:rsid w:val="00C95EA2"/>
    <w:rsid w:val="00C96597"/>
    <w:rsid w:val="00C97E94"/>
    <w:rsid w:val="00CA332E"/>
    <w:rsid w:val="00CA43CA"/>
    <w:rsid w:val="00CA5FF5"/>
    <w:rsid w:val="00CC3997"/>
    <w:rsid w:val="00CC48F1"/>
    <w:rsid w:val="00CD1D2F"/>
    <w:rsid w:val="00CD7BEC"/>
    <w:rsid w:val="00CE1ECB"/>
    <w:rsid w:val="00CE3156"/>
    <w:rsid w:val="00CE3A07"/>
    <w:rsid w:val="00CE56C4"/>
    <w:rsid w:val="00CF144F"/>
    <w:rsid w:val="00CF2005"/>
    <w:rsid w:val="00CF23FE"/>
    <w:rsid w:val="00CF5B68"/>
    <w:rsid w:val="00CF645D"/>
    <w:rsid w:val="00D00A5E"/>
    <w:rsid w:val="00D0100D"/>
    <w:rsid w:val="00D05812"/>
    <w:rsid w:val="00D05AEB"/>
    <w:rsid w:val="00D06AE3"/>
    <w:rsid w:val="00D06C0C"/>
    <w:rsid w:val="00D10670"/>
    <w:rsid w:val="00D1080B"/>
    <w:rsid w:val="00D133B3"/>
    <w:rsid w:val="00D13AF9"/>
    <w:rsid w:val="00D152C4"/>
    <w:rsid w:val="00D17487"/>
    <w:rsid w:val="00D179F1"/>
    <w:rsid w:val="00D17C2E"/>
    <w:rsid w:val="00D24D93"/>
    <w:rsid w:val="00D26C62"/>
    <w:rsid w:val="00D31340"/>
    <w:rsid w:val="00D32088"/>
    <w:rsid w:val="00D326FC"/>
    <w:rsid w:val="00D413E4"/>
    <w:rsid w:val="00D42B2E"/>
    <w:rsid w:val="00D45095"/>
    <w:rsid w:val="00D56941"/>
    <w:rsid w:val="00D676F3"/>
    <w:rsid w:val="00D70FA3"/>
    <w:rsid w:val="00D842D8"/>
    <w:rsid w:val="00D916AC"/>
    <w:rsid w:val="00D918A6"/>
    <w:rsid w:val="00D9304E"/>
    <w:rsid w:val="00DA47BD"/>
    <w:rsid w:val="00DA5D71"/>
    <w:rsid w:val="00DA6C8B"/>
    <w:rsid w:val="00DB1BE9"/>
    <w:rsid w:val="00DB1D71"/>
    <w:rsid w:val="00DB7CF5"/>
    <w:rsid w:val="00DC34FB"/>
    <w:rsid w:val="00DC4AA2"/>
    <w:rsid w:val="00DD312F"/>
    <w:rsid w:val="00DD42EA"/>
    <w:rsid w:val="00DD4B54"/>
    <w:rsid w:val="00DD6AE7"/>
    <w:rsid w:val="00DD7121"/>
    <w:rsid w:val="00DD7519"/>
    <w:rsid w:val="00DE498F"/>
    <w:rsid w:val="00DE6644"/>
    <w:rsid w:val="00DE745B"/>
    <w:rsid w:val="00DE7EED"/>
    <w:rsid w:val="00DF0292"/>
    <w:rsid w:val="00DF0912"/>
    <w:rsid w:val="00DF42A6"/>
    <w:rsid w:val="00DF54E5"/>
    <w:rsid w:val="00DF58AE"/>
    <w:rsid w:val="00DF5EEE"/>
    <w:rsid w:val="00DF6544"/>
    <w:rsid w:val="00E00DC0"/>
    <w:rsid w:val="00E05A85"/>
    <w:rsid w:val="00E0795A"/>
    <w:rsid w:val="00E07AC1"/>
    <w:rsid w:val="00E07E21"/>
    <w:rsid w:val="00E1261A"/>
    <w:rsid w:val="00E17D27"/>
    <w:rsid w:val="00E20B79"/>
    <w:rsid w:val="00E20C22"/>
    <w:rsid w:val="00E23909"/>
    <w:rsid w:val="00E337E8"/>
    <w:rsid w:val="00E3543A"/>
    <w:rsid w:val="00E549B5"/>
    <w:rsid w:val="00E56620"/>
    <w:rsid w:val="00E57A6C"/>
    <w:rsid w:val="00E60746"/>
    <w:rsid w:val="00E62E87"/>
    <w:rsid w:val="00E6353C"/>
    <w:rsid w:val="00E767CB"/>
    <w:rsid w:val="00E7693A"/>
    <w:rsid w:val="00E81539"/>
    <w:rsid w:val="00E81951"/>
    <w:rsid w:val="00EA24A3"/>
    <w:rsid w:val="00EA677D"/>
    <w:rsid w:val="00EA6F79"/>
    <w:rsid w:val="00EA7A34"/>
    <w:rsid w:val="00EB199E"/>
    <w:rsid w:val="00EB5DE6"/>
    <w:rsid w:val="00EB5DEC"/>
    <w:rsid w:val="00EB7403"/>
    <w:rsid w:val="00EB790F"/>
    <w:rsid w:val="00EC6C5D"/>
    <w:rsid w:val="00ED2E95"/>
    <w:rsid w:val="00ED5057"/>
    <w:rsid w:val="00ED5973"/>
    <w:rsid w:val="00ED63A8"/>
    <w:rsid w:val="00EE200C"/>
    <w:rsid w:val="00EE3808"/>
    <w:rsid w:val="00EE5C60"/>
    <w:rsid w:val="00EE63D4"/>
    <w:rsid w:val="00EE67D2"/>
    <w:rsid w:val="00EE7FB8"/>
    <w:rsid w:val="00EF0044"/>
    <w:rsid w:val="00EF05AA"/>
    <w:rsid w:val="00EF3BCD"/>
    <w:rsid w:val="00EF49E9"/>
    <w:rsid w:val="00EF5EB4"/>
    <w:rsid w:val="00EF6702"/>
    <w:rsid w:val="00F00AA0"/>
    <w:rsid w:val="00F0169E"/>
    <w:rsid w:val="00F0564B"/>
    <w:rsid w:val="00F0796B"/>
    <w:rsid w:val="00F07CEE"/>
    <w:rsid w:val="00F12290"/>
    <w:rsid w:val="00F13CD0"/>
    <w:rsid w:val="00F143D7"/>
    <w:rsid w:val="00F15ADA"/>
    <w:rsid w:val="00F17E20"/>
    <w:rsid w:val="00F226ED"/>
    <w:rsid w:val="00F258E7"/>
    <w:rsid w:val="00F31980"/>
    <w:rsid w:val="00F34945"/>
    <w:rsid w:val="00F3670E"/>
    <w:rsid w:val="00F45B08"/>
    <w:rsid w:val="00F855D2"/>
    <w:rsid w:val="00F877C6"/>
    <w:rsid w:val="00F877EF"/>
    <w:rsid w:val="00F9336E"/>
    <w:rsid w:val="00F9457C"/>
    <w:rsid w:val="00FA4801"/>
    <w:rsid w:val="00FA747C"/>
    <w:rsid w:val="00FB069B"/>
    <w:rsid w:val="00FB149D"/>
    <w:rsid w:val="00FB3B8E"/>
    <w:rsid w:val="00FC035C"/>
    <w:rsid w:val="00FC12B3"/>
    <w:rsid w:val="00FC5B57"/>
    <w:rsid w:val="00FD4229"/>
    <w:rsid w:val="00FE0450"/>
    <w:rsid w:val="00FE670F"/>
    <w:rsid w:val="00FF612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FF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B0C"/>
    <w:rPr>
      <w:rFonts w:ascii="Times New Roman" w:hAnsi="Times New Roman" w:cs="Times New Roman"/>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863BB2"/>
    <w:rPr>
      <w:sz w:val="22"/>
      <w:szCs w:val="22"/>
      <w:lang w:val="es-CL"/>
    </w:rPr>
  </w:style>
  <w:style w:type="character" w:styleId="Nmerodelnea">
    <w:name w:val="line number"/>
    <w:basedOn w:val="Fuentedeprrafopredeter"/>
    <w:uiPriority w:val="99"/>
    <w:semiHidden/>
    <w:unhideWhenUsed/>
    <w:rsid w:val="001E5387"/>
  </w:style>
  <w:style w:type="character" w:styleId="Hipervnculo">
    <w:name w:val="Hyperlink"/>
    <w:basedOn w:val="Fuentedeprrafopredeter"/>
    <w:uiPriority w:val="99"/>
    <w:unhideWhenUsed/>
    <w:rsid w:val="0092168D"/>
    <w:rPr>
      <w:color w:val="0563C1" w:themeColor="hyperlink"/>
      <w:u w:val="single"/>
    </w:rPr>
  </w:style>
  <w:style w:type="character" w:customStyle="1" w:styleId="SinespaciadoCar">
    <w:name w:val="Sin espaciado Car"/>
    <w:basedOn w:val="Fuentedeprrafopredeter"/>
    <w:link w:val="Sinespaciado"/>
    <w:uiPriority w:val="1"/>
    <w:rsid w:val="0010353F"/>
    <w:rPr>
      <w:sz w:val="22"/>
      <w:szCs w:val="22"/>
      <w:lang w:val="es-CL"/>
    </w:rPr>
  </w:style>
  <w:style w:type="paragraph" w:styleId="Encabezado">
    <w:name w:val="header"/>
    <w:basedOn w:val="Normal"/>
    <w:link w:val="EncabezadoCar"/>
    <w:uiPriority w:val="99"/>
    <w:unhideWhenUsed/>
    <w:rsid w:val="002075F6"/>
    <w:pPr>
      <w:tabs>
        <w:tab w:val="center" w:pos="4419"/>
        <w:tab w:val="right" w:pos="8838"/>
      </w:tabs>
    </w:pPr>
    <w:rPr>
      <w:rFonts w:asciiTheme="minorHAnsi" w:hAnsiTheme="minorHAnsi" w:cstheme="minorBidi"/>
      <w:lang w:eastAsia="en-US"/>
    </w:rPr>
  </w:style>
  <w:style w:type="character" w:customStyle="1" w:styleId="EncabezadoCar">
    <w:name w:val="Encabezado Car"/>
    <w:basedOn w:val="Fuentedeprrafopredeter"/>
    <w:link w:val="Encabezado"/>
    <w:uiPriority w:val="99"/>
    <w:rsid w:val="002075F6"/>
  </w:style>
  <w:style w:type="paragraph" w:styleId="Piedepgina">
    <w:name w:val="footer"/>
    <w:basedOn w:val="Normal"/>
    <w:link w:val="PiedepginaCar"/>
    <w:uiPriority w:val="99"/>
    <w:unhideWhenUsed/>
    <w:rsid w:val="002075F6"/>
    <w:pPr>
      <w:tabs>
        <w:tab w:val="center" w:pos="4419"/>
        <w:tab w:val="right" w:pos="8838"/>
      </w:tabs>
    </w:pPr>
    <w:rPr>
      <w:rFonts w:asciiTheme="minorHAnsi" w:hAnsiTheme="minorHAnsi" w:cstheme="minorBidi"/>
      <w:lang w:eastAsia="en-US"/>
    </w:rPr>
  </w:style>
  <w:style w:type="character" w:customStyle="1" w:styleId="PiedepginaCar">
    <w:name w:val="Pie de página Car"/>
    <w:basedOn w:val="Fuentedeprrafopredeter"/>
    <w:link w:val="Piedepgina"/>
    <w:uiPriority w:val="99"/>
    <w:rsid w:val="002075F6"/>
  </w:style>
  <w:style w:type="paragraph" w:styleId="Textodeglobo">
    <w:name w:val="Balloon Text"/>
    <w:basedOn w:val="Normal"/>
    <w:link w:val="TextodegloboCar"/>
    <w:uiPriority w:val="99"/>
    <w:semiHidden/>
    <w:unhideWhenUsed/>
    <w:rsid w:val="00DE498F"/>
    <w:rPr>
      <w:rFonts w:ascii="Tahoma" w:hAnsi="Tahoma" w:cs="Tahoma"/>
      <w:sz w:val="16"/>
      <w:szCs w:val="16"/>
    </w:rPr>
  </w:style>
  <w:style w:type="character" w:customStyle="1" w:styleId="TextodegloboCar">
    <w:name w:val="Texto de globo Car"/>
    <w:basedOn w:val="Fuentedeprrafopredeter"/>
    <w:link w:val="Textodeglobo"/>
    <w:uiPriority w:val="99"/>
    <w:semiHidden/>
    <w:rsid w:val="00DE498F"/>
    <w:rPr>
      <w:rFonts w:ascii="Tahoma" w:hAnsi="Tahoma" w:cs="Tahoma"/>
      <w:sz w:val="16"/>
      <w:szCs w:val="16"/>
    </w:rPr>
  </w:style>
  <w:style w:type="character" w:styleId="Refdecomentario">
    <w:name w:val="annotation reference"/>
    <w:basedOn w:val="Fuentedeprrafopredeter"/>
    <w:uiPriority w:val="99"/>
    <w:semiHidden/>
    <w:unhideWhenUsed/>
    <w:rsid w:val="00985B73"/>
    <w:rPr>
      <w:sz w:val="18"/>
      <w:szCs w:val="18"/>
    </w:rPr>
  </w:style>
  <w:style w:type="paragraph" w:styleId="Textocomentario">
    <w:name w:val="annotation text"/>
    <w:basedOn w:val="Normal"/>
    <w:link w:val="TextocomentarioCar"/>
    <w:uiPriority w:val="99"/>
    <w:semiHidden/>
    <w:unhideWhenUsed/>
    <w:rsid w:val="00985B73"/>
    <w:rPr>
      <w:rFonts w:asciiTheme="minorHAnsi" w:hAnsiTheme="minorHAnsi" w:cstheme="minorBidi"/>
      <w:lang w:eastAsia="en-US"/>
    </w:rPr>
  </w:style>
  <w:style w:type="character" w:customStyle="1" w:styleId="TextocomentarioCar">
    <w:name w:val="Texto comentario Car"/>
    <w:basedOn w:val="Fuentedeprrafopredeter"/>
    <w:link w:val="Textocomentario"/>
    <w:uiPriority w:val="99"/>
    <w:semiHidden/>
    <w:rsid w:val="00985B73"/>
  </w:style>
  <w:style w:type="paragraph" w:styleId="Asuntodelcomentario">
    <w:name w:val="annotation subject"/>
    <w:basedOn w:val="Textocomentario"/>
    <w:next w:val="Textocomentario"/>
    <w:link w:val="AsuntodelcomentarioCar"/>
    <w:uiPriority w:val="99"/>
    <w:semiHidden/>
    <w:unhideWhenUsed/>
    <w:rsid w:val="00985B73"/>
    <w:rPr>
      <w:b/>
      <w:bCs/>
      <w:sz w:val="20"/>
      <w:szCs w:val="20"/>
    </w:rPr>
  </w:style>
  <w:style w:type="character" w:customStyle="1" w:styleId="AsuntodelcomentarioCar">
    <w:name w:val="Asunto del comentario Car"/>
    <w:basedOn w:val="TextocomentarioCar"/>
    <w:link w:val="Asuntodelcomentario"/>
    <w:uiPriority w:val="99"/>
    <w:semiHidden/>
    <w:rsid w:val="00985B73"/>
    <w:rPr>
      <w:b/>
      <w:bCs/>
      <w:sz w:val="20"/>
      <w:szCs w:val="20"/>
    </w:rPr>
  </w:style>
  <w:style w:type="character" w:customStyle="1" w:styleId="tlid-translation">
    <w:name w:val="tlid-translation"/>
    <w:basedOn w:val="Fuentedeprrafopredeter"/>
    <w:rsid w:val="00D42B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B0C"/>
    <w:rPr>
      <w:rFonts w:ascii="Times New Roman" w:hAnsi="Times New Roman" w:cs="Times New Roman"/>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863BB2"/>
    <w:rPr>
      <w:sz w:val="22"/>
      <w:szCs w:val="22"/>
      <w:lang w:val="es-CL"/>
    </w:rPr>
  </w:style>
  <w:style w:type="character" w:styleId="Nmerodelnea">
    <w:name w:val="line number"/>
    <w:basedOn w:val="Fuentedeprrafopredeter"/>
    <w:uiPriority w:val="99"/>
    <w:semiHidden/>
    <w:unhideWhenUsed/>
    <w:rsid w:val="001E5387"/>
  </w:style>
  <w:style w:type="character" w:styleId="Hipervnculo">
    <w:name w:val="Hyperlink"/>
    <w:basedOn w:val="Fuentedeprrafopredeter"/>
    <w:uiPriority w:val="99"/>
    <w:unhideWhenUsed/>
    <w:rsid w:val="0092168D"/>
    <w:rPr>
      <w:color w:val="0563C1" w:themeColor="hyperlink"/>
      <w:u w:val="single"/>
    </w:rPr>
  </w:style>
  <w:style w:type="character" w:customStyle="1" w:styleId="SinespaciadoCar">
    <w:name w:val="Sin espaciado Car"/>
    <w:basedOn w:val="Fuentedeprrafopredeter"/>
    <w:link w:val="Sinespaciado"/>
    <w:uiPriority w:val="1"/>
    <w:rsid w:val="0010353F"/>
    <w:rPr>
      <w:sz w:val="22"/>
      <w:szCs w:val="22"/>
      <w:lang w:val="es-CL"/>
    </w:rPr>
  </w:style>
  <w:style w:type="paragraph" w:styleId="Encabezado">
    <w:name w:val="header"/>
    <w:basedOn w:val="Normal"/>
    <w:link w:val="EncabezadoCar"/>
    <w:uiPriority w:val="99"/>
    <w:unhideWhenUsed/>
    <w:rsid w:val="002075F6"/>
    <w:pPr>
      <w:tabs>
        <w:tab w:val="center" w:pos="4419"/>
        <w:tab w:val="right" w:pos="8838"/>
      </w:tabs>
    </w:pPr>
    <w:rPr>
      <w:rFonts w:asciiTheme="minorHAnsi" w:hAnsiTheme="minorHAnsi" w:cstheme="minorBidi"/>
      <w:lang w:eastAsia="en-US"/>
    </w:rPr>
  </w:style>
  <w:style w:type="character" w:customStyle="1" w:styleId="EncabezadoCar">
    <w:name w:val="Encabezado Car"/>
    <w:basedOn w:val="Fuentedeprrafopredeter"/>
    <w:link w:val="Encabezado"/>
    <w:uiPriority w:val="99"/>
    <w:rsid w:val="002075F6"/>
  </w:style>
  <w:style w:type="paragraph" w:styleId="Piedepgina">
    <w:name w:val="footer"/>
    <w:basedOn w:val="Normal"/>
    <w:link w:val="PiedepginaCar"/>
    <w:uiPriority w:val="99"/>
    <w:unhideWhenUsed/>
    <w:rsid w:val="002075F6"/>
    <w:pPr>
      <w:tabs>
        <w:tab w:val="center" w:pos="4419"/>
        <w:tab w:val="right" w:pos="8838"/>
      </w:tabs>
    </w:pPr>
    <w:rPr>
      <w:rFonts w:asciiTheme="minorHAnsi" w:hAnsiTheme="minorHAnsi" w:cstheme="minorBidi"/>
      <w:lang w:eastAsia="en-US"/>
    </w:rPr>
  </w:style>
  <w:style w:type="character" w:customStyle="1" w:styleId="PiedepginaCar">
    <w:name w:val="Pie de página Car"/>
    <w:basedOn w:val="Fuentedeprrafopredeter"/>
    <w:link w:val="Piedepgina"/>
    <w:uiPriority w:val="99"/>
    <w:rsid w:val="002075F6"/>
  </w:style>
  <w:style w:type="paragraph" w:styleId="Textodeglobo">
    <w:name w:val="Balloon Text"/>
    <w:basedOn w:val="Normal"/>
    <w:link w:val="TextodegloboCar"/>
    <w:uiPriority w:val="99"/>
    <w:semiHidden/>
    <w:unhideWhenUsed/>
    <w:rsid w:val="00DE498F"/>
    <w:rPr>
      <w:rFonts w:ascii="Tahoma" w:hAnsi="Tahoma" w:cs="Tahoma"/>
      <w:sz w:val="16"/>
      <w:szCs w:val="16"/>
    </w:rPr>
  </w:style>
  <w:style w:type="character" w:customStyle="1" w:styleId="TextodegloboCar">
    <w:name w:val="Texto de globo Car"/>
    <w:basedOn w:val="Fuentedeprrafopredeter"/>
    <w:link w:val="Textodeglobo"/>
    <w:uiPriority w:val="99"/>
    <w:semiHidden/>
    <w:rsid w:val="00DE498F"/>
    <w:rPr>
      <w:rFonts w:ascii="Tahoma" w:hAnsi="Tahoma" w:cs="Tahoma"/>
      <w:sz w:val="16"/>
      <w:szCs w:val="16"/>
    </w:rPr>
  </w:style>
  <w:style w:type="character" w:styleId="Refdecomentario">
    <w:name w:val="annotation reference"/>
    <w:basedOn w:val="Fuentedeprrafopredeter"/>
    <w:uiPriority w:val="99"/>
    <w:semiHidden/>
    <w:unhideWhenUsed/>
    <w:rsid w:val="00985B73"/>
    <w:rPr>
      <w:sz w:val="18"/>
      <w:szCs w:val="18"/>
    </w:rPr>
  </w:style>
  <w:style w:type="paragraph" w:styleId="Textocomentario">
    <w:name w:val="annotation text"/>
    <w:basedOn w:val="Normal"/>
    <w:link w:val="TextocomentarioCar"/>
    <w:uiPriority w:val="99"/>
    <w:semiHidden/>
    <w:unhideWhenUsed/>
    <w:rsid w:val="00985B73"/>
    <w:rPr>
      <w:rFonts w:asciiTheme="minorHAnsi" w:hAnsiTheme="minorHAnsi" w:cstheme="minorBidi"/>
      <w:lang w:eastAsia="en-US"/>
    </w:rPr>
  </w:style>
  <w:style w:type="character" w:customStyle="1" w:styleId="TextocomentarioCar">
    <w:name w:val="Texto comentario Car"/>
    <w:basedOn w:val="Fuentedeprrafopredeter"/>
    <w:link w:val="Textocomentario"/>
    <w:uiPriority w:val="99"/>
    <w:semiHidden/>
    <w:rsid w:val="00985B73"/>
  </w:style>
  <w:style w:type="paragraph" w:styleId="Asuntodelcomentario">
    <w:name w:val="annotation subject"/>
    <w:basedOn w:val="Textocomentario"/>
    <w:next w:val="Textocomentario"/>
    <w:link w:val="AsuntodelcomentarioCar"/>
    <w:uiPriority w:val="99"/>
    <w:semiHidden/>
    <w:unhideWhenUsed/>
    <w:rsid w:val="00985B73"/>
    <w:rPr>
      <w:b/>
      <w:bCs/>
      <w:sz w:val="20"/>
      <w:szCs w:val="20"/>
    </w:rPr>
  </w:style>
  <w:style w:type="character" w:customStyle="1" w:styleId="AsuntodelcomentarioCar">
    <w:name w:val="Asunto del comentario Car"/>
    <w:basedOn w:val="TextocomentarioCar"/>
    <w:link w:val="Asuntodelcomentario"/>
    <w:uiPriority w:val="99"/>
    <w:semiHidden/>
    <w:rsid w:val="00985B73"/>
    <w:rPr>
      <w:b/>
      <w:bCs/>
      <w:sz w:val="20"/>
      <w:szCs w:val="20"/>
    </w:rPr>
  </w:style>
  <w:style w:type="character" w:customStyle="1" w:styleId="tlid-translation">
    <w:name w:val="tlid-translation"/>
    <w:basedOn w:val="Fuentedeprrafopredeter"/>
    <w:rsid w:val="00D42B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18431">
      <w:bodyDiv w:val="1"/>
      <w:marLeft w:val="0"/>
      <w:marRight w:val="0"/>
      <w:marTop w:val="0"/>
      <w:marBottom w:val="0"/>
      <w:divBdr>
        <w:top w:val="none" w:sz="0" w:space="0" w:color="auto"/>
        <w:left w:val="none" w:sz="0" w:space="0" w:color="auto"/>
        <w:bottom w:val="none" w:sz="0" w:space="0" w:color="auto"/>
        <w:right w:val="none" w:sz="0" w:space="0" w:color="auto"/>
      </w:divBdr>
    </w:div>
    <w:div w:id="162016379">
      <w:bodyDiv w:val="1"/>
      <w:marLeft w:val="0"/>
      <w:marRight w:val="0"/>
      <w:marTop w:val="0"/>
      <w:marBottom w:val="0"/>
      <w:divBdr>
        <w:top w:val="none" w:sz="0" w:space="0" w:color="auto"/>
        <w:left w:val="none" w:sz="0" w:space="0" w:color="auto"/>
        <w:bottom w:val="none" w:sz="0" w:space="0" w:color="auto"/>
        <w:right w:val="none" w:sz="0" w:space="0" w:color="auto"/>
      </w:divBdr>
    </w:div>
    <w:div w:id="182018314">
      <w:bodyDiv w:val="1"/>
      <w:marLeft w:val="0"/>
      <w:marRight w:val="0"/>
      <w:marTop w:val="0"/>
      <w:marBottom w:val="0"/>
      <w:divBdr>
        <w:top w:val="none" w:sz="0" w:space="0" w:color="auto"/>
        <w:left w:val="none" w:sz="0" w:space="0" w:color="auto"/>
        <w:bottom w:val="none" w:sz="0" w:space="0" w:color="auto"/>
        <w:right w:val="none" w:sz="0" w:space="0" w:color="auto"/>
      </w:divBdr>
    </w:div>
    <w:div w:id="192575894">
      <w:bodyDiv w:val="1"/>
      <w:marLeft w:val="0"/>
      <w:marRight w:val="0"/>
      <w:marTop w:val="0"/>
      <w:marBottom w:val="0"/>
      <w:divBdr>
        <w:top w:val="none" w:sz="0" w:space="0" w:color="auto"/>
        <w:left w:val="none" w:sz="0" w:space="0" w:color="auto"/>
        <w:bottom w:val="none" w:sz="0" w:space="0" w:color="auto"/>
        <w:right w:val="none" w:sz="0" w:space="0" w:color="auto"/>
      </w:divBdr>
    </w:div>
    <w:div w:id="230889657">
      <w:bodyDiv w:val="1"/>
      <w:marLeft w:val="0"/>
      <w:marRight w:val="0"/>
      <w:marTop w:val="0"/>
      <w:marBottom w:val="0"/>
      <w:divBdr>
        <w:top w:val="none" w:sz="0" w:space="0" w:color="auto"/>
        <w:left w:val="none" w:sz="0" w:space="0" w:color="auto"/>
        <w:bottom w:val="none" w:sz="0" w:space="0" w:color="auto"/>
        <w:right w:val="none" w:sz="0" w:space="0" w:color="auto"/>
      </w:divBdr>
    </w:div>
    <w:div w:id="367295729">
      <w:bodyDiv w:val="1"/>
      <w:marLeft w:val="0"/>
      <w:marRight w:val="0"/>
      <w:marTop w:val="0"/>
      <w:marBottom w:val="0"/>
      <w:divBdr>
        <w:top w:val="none" w:sz="0" w:space="0" w:color="auto"/>
        <w:left w:val="none" w:sz="0" w:space="0" w:color="auto"/>
        <w:bottom w:val="none" w:sz="0" w:space="0" w:color="auto"/>
        <w:right w:val="none" w:sz="0" w:space="0" w:color="auto"/>
      </w:divBdr>
      <w:divsChild>
        <w:div w:id="2027171093">
          <w:marLeft w:val="0"/>
          <w:marRight w:val="0"/>
          <w:marTop w:val="0"/>
          <w:marBottom w:val="0"/>
          <w:divBdr>
            <w:top w:val="none" w:sz="0" w:space="0" w:color="auto"/>
            <w:left w:val="none" w:sz="0" w:space="0" w:color="auto"/>
            <w:bottom w:val="none" w:sz="0" w:space="0" w:color="auto"/>
            <w:right w:val="none" w:sz="0" w:space="0" w:color="auto"/>
          </w:divBdr>
          <w:divsChild>
            <w:div w:id="12041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619803">
      <w:bodyDiv w:val="1"/>
      <w:marLeft w:val="0"/>
      <w:marRight w:val="0"/>
      <w:marTop w:val="0"/>
      <w:marBottom w:val="0"/>
      <w:divBdr>
        <w:top w:val="none" w:sz="0" w:space="0" w:color="auto"/>
        <w:left w:val="none" w:sz="0" w:space="0" w:color="auto"/>
        <w:bottom w:val="none" w:sz="0" w:space="0" w:color="auto"/>
        <w:right w:val="none" w:sz="0" w:space="0" w:color="auto"/>
      </w:divBdr>
    </w:div>
    <w:div w:id="414937487">
      <w:bodyDiv w:val="1"/>
      <w:marLeft w:val="0"/>
      <w:marRight w:val="0"/>
      <w:marTop w:val="0"/>
      <w:marBottom w:val="0"/>
      <w:divBdr>
        <w:top w:val="none" w:sz="0" w:space="0" w:color="auto"/>
        <w:left w:val="none" w:sz="0" w:space="0" w:color="auto"/>
        <w:bottom w:val="none" w:sz="0" w:space="0" w:color="auto"/>
        <w:right w:val="none" w:sz="0" w:space="0" w:color="auto"/>
      </w:divBdr>
    </w:div>
    <w:div w:id="455026572">
      <w:bodyDiv w:val="1"/>
      <w:marLeft w:val="0"/>
      <w:marRight w:val="0"/>
      <w:marTop w:val="0"/>
      <w:marBottom w:val="0"/>
      <w:divBdr>
        <w:top w:val="none" w:sz="0" w:space="0" w:color="auto"/>
        <w:left w:val="none" w:sz="0" w:space="0" w:color="auto"/>
        <w:bottom w:val="none" w:sz="0" w:space="0" w:color="auto"/>
        <w:right w:val="none" w:sz="0" w:space="0" w:color="auto"/>
      </w:divBdr>
    </w:div>
    <w:div w:id="457727922">
      <w:bodyDiv w:val="1"/>
      <w:marLeft w:val="0"/>
      <w:marRight w:val="0"/>
      <w:marTop w:val="0"/>
      <w:marBottom w:val="0"/>
      <w:divBdr>
        <w:top w:val="none" w:sz="0" w:space="0" w:color="auto"/>
        <w:left w:val="none" w:sz="0" w:space="0" w:color="auto"/>
        <w:bottom w:val="none" w:sz="0" w:space="0" w:color="auto"/>
        <w:right w:val="none" w:sz="0" w:space="0" w:color="auto"/>
      </w:divBdr>
    </w:div>
    <w:div w:id="513304212">
      <w:bodyDiv w:val="1"/>
      <w:marLeft w:val="0"/>
      <w:marRight w:val="0"/>
      <w:marTop w:val="0"/>
      <w:marBottom w:val="0"/>
      <w:divBdr>
        <w:top w:val="none" w:sz="0" w:space="0" w:color="auto"/>
        <w:left w:val="none" w:sz="0" w:space="0" w:color="auto"/>
        <w:bottom w:val="none" w:sz="0" w:space="0" w:color="auto"/>
        <w:right w:val="none" w:sz="0" w:space="0" w:color="auto"/>
      </w:divBdr>
    </w:div>
    <w:div w:id="589579901">
      <w:bodyDiv w:val="1"/>
      <w:marLeft w:val="0"/>
      <w:marRight w:val="0"/>
      <w:marTop w:val="0"/>
      <w:marBottom w:val="0"/>
      <w:divBdr>
        <w:top w:val="none" w:sz="0" w:space="0" w:color="auto"/>
        <w:left w:val="none" w:sz="0" w:space="0" w:color="auto"/>
        <w:bottom w:val="none" w:sz="0" w:space="0" w:color="auto"/>
        <w:right w:val="none" w:sz="0" w:space="0" w:color="auto"/>
      </w:divBdr>
    </w:div>
    <w:div w:id="638147292">
      <w:bodyDiv w:val="1"/>
      <w:marLeft w:val="0"/>
      <w:marRight w:val="0"/>
      <w:marTop w:val="0"/>
      <w:marBottom w:val="0"/>
      <w:divBdr>
        <w:top w:val="none" w:sz="0" w:space="0" w:color="auto"/>
        <w:left w:val="none" w:sz="0" w:space="0" w:color="auto"/>
        <w:bottom w:val="none" w:sz="0" w:space="0" w:color="auto"/>
        <w:right w:val="none" w:sz="0" w:space="0" w:color="auto"/>
      </w:divBdr>
    </w:div>
    <w:div w:id="646057732">
      <w:bodyDiv w:val="1"/>
      <w:marLeft w:val="0"/>
      <w:marRight w:val="0"/>
      <w:marTop w:val="0"/>
      <w:marBottom w:val="0"/>
      <w:divBdr>
        <w:top w:val="none" w:sz="0" w:space="0" w:color="auto"/>
        <w:left w:val="none" w:sz="0" w:space="0" w:color="auto"/>
        <w:bottom w:val="none" w:sz="0" w:space="0" w:color="auto"/>
        <w:right w:val="none" w:sz="0" w:space="0" w:color="auto"/>
      </w:divBdr>
    </w:div>
    <w:div w:id="697854977">
      <w:bodyDiv w:val="1"/>
      <w:marLeft w:val="0"/>
      <w:marRight w:val="0"/>
      <w:marTop w:val="0"/>
      <w:marBottom w:val="0"/>
      <w:divBdr>
        <w:top w:val="none" w:sz="0" w:space="0" w:color="auto"/>
        <w:left w:val="none" w:sz="0" w:space="0" w:color="auto"/>
        <w:bottom w:val="none" w:sz="0" w:space="0" w:color="auto"/>
        <w:right w:val="none" w:sz="0" w:space="0" w:color="auto"/>
      </w:divBdr>
    </w:div>
    <w:div w:id="739211596">
      <w:bodyDiv w:val="1"/>
      <w:marLeft w:val="0"/>
      <w:marRight w:val="0"/>
      <w:marTop w:val="0"/>
      <w:marBottom w:val="0"/>
      <w:divBdr>
        <w:top w:val="none" w:sz="0" w:space="0" w:color="auto"/>
        <w:left w:val="none" w:sz="0" w:space="0" w:color="auto"/>
        <w:bottom w:val="none" w:sz="0" w:space="0" w:color="auto"/>
        <w:right w:val="none" w:sz="0" w:space="0" w:color="auto"/>
      </w:divBdr>
    </w:div>
    <w:div w:id="1243103113">
      <w:bodyDiv w:val="1"/>
      <w:marLeft w:val="0"/>
      <w:marRight w:val="0"/>
      <w:marTop w:val="0"/>
      <w:marBottom w:val="0"/>
      <w:divBdr>
        <w:top w:val="none" w:sz="0" w:space="0" w:color="auto"/>
        <w:left w:val="none" w:sz="0" w:space="0" w:color="auto"/>
        <w:bottom w:val="none" w:sz="0" w:space="0" w:color="auto"/>
        <w:right w:val="none" w:sz="0" w:space="0" w:color="auto"/>
      </w:divBdr>
    </w:div>
    <w:div w:id="1274289120">
      <w:bodyDiv w:val="1"/>
      <w:marLeft w:val="0"/>
      <w:marRight w:val="0"/>
      <w:marTop w:val="0"/>
      <w:marBottom w:val="0"/>
      <w:divBdr>
        <w:top w:val="none" w:sz="0" w:space="0" w:color="auto"/>
        <w:left w:val="none" w:sz="0" w:space="0" w:color="auto"/>
        <w:bottom w:val="none" w:sz="0" w:space="0" w:color="auto"/>
        <w:right w:val="none" w:sz="0" w:space="0" w:color="auto"/>
      </w:divBdr>
    </w:div>
    <w:div w:id="1298536478">
      <w:bodyDiv w:val="1"/>
      <w:marLeft w:val="0"/>
      <w:marRight w:val="0"/>
      <w:marTop w:val="0"/>
      <w:marBottom w:val="0"/>
      <w:divBdr>
        <w:top w:val="none" w:sz="0" w:space="0" w:color="auto"/>
        <w:left w:val="none" w:sz="0" w:space="0" w:color="auto"/>
        <w:bottom w:val="none" w:sz="0" w:space="0" w:color="auto"/>
        <w:right w:val="none" w:sz="0" w:space="0" w:color="auto"/>
      </w:divBdr>
    </w:div>
    <w:div w:id="1301350278">
      <w:bodyDiv w:val="1"/>
      <w:marLeft w:val="0"/>
      <w:marRight w:val="0"/>
      <w:marTop w:val="0"/>
      <w:marBottom w:val="0"/>
      <w:divBdr>
        <w:top w:val="none" w:sz="0" w:space="0" w:color="auto"/>
        <w:left w:val="none" w:sz="0" w:space="0" w:color="auto"/>
        <w:bottom w:val="none" w:sz="0" w:space="0" w:color="auto"/>
        <w:right w:val="none" w:sz="0" w:space="0" w:color="auto"/>
      </w:divBdr>
    </w:div>
    <w:div w:id="1331102332">
      <w:bodyDiv w:val="1"/>
      <w:marLeft w:val="0"/>
      <w:marRight w:val="0"/>
      <w:marTop w:val="0"/>
      <w:marBottom w:val="0"/>
      <w:divBdr>
        <w:top w:val="none" w:sz="0" w:space="0" w:color="auto"/>
        <w:left w:val="none" w:sz="0" w:space="0" w:color="auto"/>
        <w:bottom w:val="none" w:sz="0" w:space="0" w:color="auto"/>
        <w:right w:val="none" w:sz="0" w:space="0" w:color="auto"/>
      </w:divBdr>
    </w:div>
    <w:div w:id="1384251668">
      <w:bodyDiv w:val="1"/>
      <w:marLeft w:val="0"/>
      <w:marRight w:val="0"/>
      <w:marTop w:val="0"/>
      <w:marBottom w:val="0"/>
      <w:divBdr>
        <w:top w:val="none" w:sz="0" w:space="0" w:color="auto"/>
        <w:left w:val="none" w:sz="0" w:space="0" w:color="auto"/>
        <w:bottom w:val="none" w:sz="0" w:space="0" w:color="auto"/>
        <w:right w:val="none" w:sz="0" w:space="0" w:color="auto"/>
      </w:divBdr>
    </w:div>
    <w:div w:id="1393893877">
      <w:bodyDiv w:val="1"/>
      <w:marLeft w:val="0"/>
      <w:marRight w:val="0"/>
      <w:marTop w:val="0"/>
      <w:marBottom w:val="0"/>
      <w:divBdr>
        <w:top w:val="none" w:sz="0" w:space="0" w:color="auto"/>
        <w:left w:val="none" w:sz="0" w:space="0" w:color="auto"/>
        <w:bottom w:val="none" w:sz="0" w:space="0" w:color="auto"/>
        <w:right w:val="none" w:sz="0" w:space="0" w:color="auto"/>
      </w:divBdr>
    </w:div>
    <w:div w:id="1409425947">
      <w:bodyDiv w:val="1"/>
      <w:marLeft w:val="0"/>
      <w:marRight w:val="0"/>
      <w:marTop w:val="0"/>
      <w:marBottom w:val="0"/>
      <w:divBdr>
        <w:top w:val="none" w:sz="0" w:space="0" w:color="auto"/>
        <w:left w:val="none" w:sz="0" w:space="0" w:color="auto"/>
        <w:bottom w:val="none" w:sz="0" w:space="0" w:color="auto"/>
        <w:right w:val="none" w:sz="0" w:space="0" w:color="auto"/>
      </w:divBdr>
    </w:div>
    <w:div w:id="1477186701">
      <w:bodyDiv w:val="1"/>
      <w:marLeft w:val="0"/>
      <w:marRight w:val="0"/>
      <w:marTop w:val="0"/>
      <w:marBottom w:val="0"/>
      <w:divBdr>
        <w:top w:val="none" w:sz="0" w:space="0" w:color="auto"/>
        <w:left w:val="none" w:sz="0" w:space="0" w:color="auto"/>
        <w:bottom w:val="none" w:sz="0" w:space="0" w:color="auto"/>
        <w:right w:val="none" w:sz="0" w:space="0" w:color="auto"/>
      </w:divBdr>
    </w:div>
    <w:div w:id="1496145187">
      <w:bodyDiv w:val="1"/>
      <w:marLeft w:val="0"/>
      <w:marRight w:val="0"/>
      <w:marTop w:val="0"/>
      <w:marBottom w:val="0"/>
      <w:divBdr>
        <w:top w:val="none" w:sz="0" w:space="0" w:color="auto"/>
        <w:left w:val="none" w:sz="0" w:space="0" w:color="auto"/>
        <w:bottom w:val="none" w:sz="0" w:space="0" w:color="auto"/>
        <w:right w:val="none" w:sz="0" w:space="0" w:color="auto"/>
      </w:divBdr>
    </w:div>
    <w:div w:id="1566136266">
      <w:bodyDiv w:val="1"/>
      <w:marLeft w:val="0"/>
      <w:marRight w:val="0"/>
      <w:marTop w:val="0"/>
      <w:marBottom w:val="0"/>
      <w:divBdr>
        <w:top w:val="none" w:sz="0" w:space="0" w:color="auto"/>
        <w:left w:val="none" w:sz="0" w:space="0" w:color="auto"/>
        <w:bottom w:val="none" w:sz="0" w:space="0" w:color="auto"/>
        <w:right w:val="none" w:sz="0" w:space="0" w:color="auto"/>
      </w:divBdr>
    </w:div>
    <w:div w:id="1567765028">
      <w:bodyDiv w:val="1"/>
      <w:marLeft w:val="0"/>
      <w:marRight w:val="0"/>
      <w:marTop w:val="0"/>
      <w:marBottom w:val="0"/>
      <w:divBdr>
        <w:top w:val="none" w:sz="0" w:space="0" w:color="auto"/>
        <w:left w:val="none" w:sz="0" w:space="0" w:color="auto"/>
        <w:bottom w:val="none" w:sz="0" w:space="0" w:color="auto"/>
        <w:right w:val="none" w:sz="0" w:space="0" w:color="auto"/>
      </w:divBdr>
    </w:div>
    <w:div w:id="1568298496">
      <w:bodyDiv w:val="1"/>
      <w:marLeft w:val="0"/>
      <w:marRight w:val="0"/>
      <w:marTop w:val="0"/>
      <w:marBottom w:val="0"/>
      <w:divBdr>
        <w:top w:val="none" w:sz="0" w:space="0" w:color="auto"/>
        <w:left w:val="none" w:sz="0" w:space="0" w:color="auto"/>
        <w:bottom w:val="none" w:sz="0" w:space="0" w:color="auto"/>
        <w:right w:val="none" w:sz="0" w:space="0" w:color="auto"/>
      </w:divBdr>
    </w:div>
    <w:div w:id="1768304968">
      <w:bodyDiv w:val="1"/>
      <w:marLeft w:val="0"/>
      <w:marRight w:val="0"/>
      <w:marTop w:val="0"/>
      <w:marBottom w:val="0"/>
      <w:divBdr>
        <w:top w:val="none" w:sz="0" w:space="0" w:color="auto"/>
        <w:left w:val="none" w:sz="0" w:space="0" w:color="auto"/>
        <w:bottom w:val="none" w:sz="0" w:space="0" w:color="auto"/>
        <w:right w:val="none" w:sz="0" w:space="0" w:color="auto"/>
      </w:divBdr>
    </w:div>
    <w:div w:id="1771388918">
      <w:bodyDiv w:val="1"/>
      <w:marLeft w:val="0"/>
      <w:marRight w:val="0"/>
      <w:marTop w:val="0"/>
      <w:marBottom w:val="0"/>
      <w:divBdr>
        <w:top w:val="none" w:sz="0" w:space="0" w:color="auto"/>
        <w:left w:val="none" w:sz="0" w:space="0" w:color="auto"/>
        <w:bottom w:val="none" w:sz="0" w:space="0" w:color="auto"/>
        <w:right w:val="none" w:sz="0" w:space="0" w:color="auto"/>
      </w:divBdr>
    </w:div>
    <w:div w:id="1900898069">
      <w:bodyDiv w:val="1"/>
      <w:marLeft w:val="0"/>
      <w:marRight w:val="0"/>
      <w:marTop w:val="0"/>
      <w:marBottom w:val="0"/>
      <w:divBdr>
        <w:top w:val="none" w:sz="0" w:space="0" w:color="auto"/>
        <w:left w:val="none" w:sz="0" w:space="0" w:color="auto"/>
        <w:bottom w:val="none" w:sz="0" w:space="0" w:color="auto"/>
        <w:right w:val="none" w:sz="0" w:space="0" w:color="auto"/>
      </w:divBdr>
    </w:div>
    <w:div w:id="1995715273">
      <w:bodyDiv w:val="1"/>
      <w:marLeft w:val="0"/>
      <w:marRight w:val="0"/>
      <w:marTop w:val="0"/>
      <w:marBottom w:val="0"/>
      <w:divBdr>
        <w:top w:val="none" w:sz="0" w:space="0" w:color="auto"/>
        <w:left w:val="none" w:sz="0" w:space="0" w:color="auto"/>
        <w:bottom w:val="none" w:sz="0" w:space="0" w:color="auto"/>
        <w:right w:val="none" w:sz="0" w:space="0" w:color="auto"/>
      </w:divBdr>
    </w:div>
    <w:div w:id="2059434881">
      <w:bodyDiv w:val="1"/>
      <w:marLeft w:val="0"/>
      <w:marRight w:val="0"/>
      <w:marTop w:val="0"/>
      <w:marBottom w:val="0"/>
      <w:divBdr>
        <w:top w:val="none" w:sz="0" w:space="0" w:color="auto"/>
        <w:left w:val="none" w:sz="0" w:space="0" w:color="auto"/>
        <w:bottom w:val="none" w:sz="0" w:space="0" w:color="auto"/>
        <w:right w:val="none" w:sz="0" w:space="0" w:color="auto"/>
      </w:divBdr>
    </w:div>
    <w:div w:id="21374043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Clinical+heterogeneity+and+predictors+of+outcome+in+primary+autoimmune+hemolytic+anemia%3A+a+GIMEMA+study+of+308+patient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7C596A9-755F-43F6-8CBA-165A63924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2856</Words>
  <Characters>15709</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18528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cp:lastModifiedBy>Revista</cp:lastModifiedBy>
  <cp:revision>2</cp:revision>
  <dcterms:created xsi:type="dcterms:W3CDTF">2019-05-09T14:53:00Z</dcterms:created>
  <dcterms:modified xsi:type="dcterms:W3CDTF">2019-05-09T14:53:00Z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Unique User Id_1">
    <vt:lpwstr>5855515f-c839-3870-bfc5-4f290d285722</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